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ahoma" w:hAnsi="Tahoma" w:eastAsia="Tahoma" w:cs="Tahoma"/>
          <w:b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spacing w:lineRule="auto" w:line="360" w:before="0" w:after="0"/>
        <w:jc w:val="both"/>
        <w:rPr>
          <w:b/>
          <w:b/>
          <w:bCs/>
        </w:rPr>
      </w:pP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Processo Licitatório n°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062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/202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2</w:t>
      </w:r>
    </w:p>
    <w:p>
      <w:pPr>
        <w:pStyle w:val="Normal"/>
        <w:widowControl w:val="false"/>
        <w:spacing w:lineRule="auto" w:line="360" w:before="0" w:after="0"/>
        <w:ind w:left="0" w:right="0" w:hanging="0"/>
        <w:jc w:val="both"/>
        <w:rPr>
          <w:b/>
          <w:b/>
          <w:bCs/>
        </w:rPr>
      </w:pP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Adesão a Ata de Registro de Preços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n°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002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/202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2 </w:t>
      </w:r>
    </w:p>
    <w:p>
      <w:pPr>
        <w:pStyle w:val="Normal"/>
        <w:widowControl w:val="false"/>
        <w:spacing w:lineRule="auto" w:line="360" w:before="0" w:after="0"/>
        <w:ind w:left="0" w:right="0" w:hanging="0"/>
        <w:jc w:val="both"/>
        <w:rPr>
          <w:b/>
          <w:b/>
          <w:bCs/>
        </w:rPr>
      </w:pP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Pregão Eletrônico nº 002/2022 do COMAJA</w:t>
      </w:r>
    </w:p>
    <w:p>
      <w:pPr>
        <w:pStyle w:val="Normal"/>
        <w:widowControl w:val="false"/>
        <w:spacing w:lineRule="auto" w:line="360" w:before="0" w:after="0"/>
        <w:ind w:left="993" w:right="0" w:hanging="993"/>
        <w:jc w:val="both"/>
        <w:rPr>
          <w:rFonts w:ascii="Tahoma" w:hAnsi="Tahoma" w:eastAsia="Tahoma" w:cs="Tahoma"/>
          <w:b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auto" w:line="360" w:before="0" w:after="0"/>
        <w:ind w:left="993" w:right="0" w:hanging="993"/>
        <w:jc w:val="both"/>
        <w:rPr>
          <w:rFonts w:ascii="Tahoma" w:hAnsi="Tahoma" w:eastAsia="Tahoma" w:cs="Tahoma"/>
          <w:b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Objeto: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Adesão à Ata de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Registro de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P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reço para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contratação de empresa especializada para promover a substituição das luminárias que compõe o sistema de iluminação pública do Município de Muriaé por novas luminárias de LED, incluindo o fornecimento do material necessário e a manutenção do sistema pelo prazo de garantia dos produtos fornecidos e instalados.</w:t>
      </w:r>
    </w:p>
    <w:p>
      <w:pPr>
        <w:pStyle w:val="Normal"/>
        <w:widowControl w:val="false"/>
        <w:spacing w:lineRule="exact" w:line="360" w:before="0" w:after="0"/>
        <w:ind w:left="0" w:right="0" w:firstLine="1134"/>
        <w:jc w:val="left"/>
        <w:rPr>
          <w:rFonts w:ascii="Tahoma" w:hAnsi="Tahoma" w:eastAsia="Tahoma" w:cs="Tahoma"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exact" w:line="360" w:before="0" w:after="0"/>
        <w:ind w:left="0" w:right="0" w:hanging="0"/>
        <w:jc w:val="center"/>
        <w:rPr>
          <w:b/>
          <w:b/>
          <w:bCs/>
          <w:u w:val="single"/>
        </w:rPr>
      </w:pPr>
      <w:r>
        <w:rPr>
          <w:rFonts w:eastAsia="Tahoma" w:cs="Tahoma" w:ascii="Tahoma" w:hAnsi="Tahoma"/>
          <w:b/>
          <w:bCs/>
          <w:color w:val="00000A"/>
          <w:spacing w:val="0"/>
          <w:sz w:val="24"/>
          <w:highlight w:val="white"/>
          <w:u w:val="single"/>
        </w:rPr>
        <w:t>PARECER DA ASSESSORIA JURÍDICA DE LICITAÇÕES E CONTRATOS</w:t>
      </w:r>
    </w:p>
    <w:p>
      <w:pPr>
        <w:pStyle w:val="Normal"/>
        <w:widowControl w:val="false"/>
        <w:spacing w:lineRule="exact" w:line="360" w:before="0" w:after="0"/>
        <w:ind w:left="0" w:right="0" w:firstLine="1134"/>
        <w:jc w:val="left"/>
        <w:rPr>
          <w:rFonts w:ascii="Tahoma" w:hAnsi="Tahoma" w:eastAsia="Tahoma" w:cs="Tahoma"/>
          <w:color w:val="00000A"/>
          <w:spacing w:val="0"/>
          <w:sz w:val="24"/>
          <w:highlight w:val="white"/>
          <w:u w:val="singl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  <w:u w:val="single"/>
        </w:rPr>
      </w:r>
    </w:p>
    <w:p>
      <w:pPr>
        <w:pStyle w:val="Normal"/>
        <w:widowControl w:val="false"/>
        <w:spacing w:lineRule="exact" w:line="360" w:before="0" w:after="0"/>
        <w:ind w:left="0" w:right="0" w:firstLine="1134"/>
        <w:jc w:val="left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0" w:after="0"/>
        <w:ind w:left="57" w:right="0" w:firstLine="1077"/>
        <w:jc w:val="both"/>
        <w:rPr>
          <w:rFonts w:ascii="Tahoma" w:hAnsi="Tahoma" w:eastAsia="Tahoma" w:cs="Tahoma"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Trata-se o presente parecer de análise, com fulcro nos poderes inerentes à Administração Pública, de possibilidade e necessidade de revogação do procedimento licitatório nº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062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/202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2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,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Adesão à Ata de Registro de Preços nº 002/2022,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Pregão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Eletrônico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nº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002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/202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2 do COMAJA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, que tem como obje</w:t>
      </w:r>
      <w:r>
        <w:rPr>
          <w:rFonts w:eastAsia="Tahoma" w:cs="Tahoma" w:ascii="Tahoma" w:hAnsi="Tahoma"/>
          <w:b w:val="false"/>
          <w:bCs w:val="false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to, </w:t>
      </w:r>
      <w:r>
        <w:rPr>
          <w:rFonts w:eastAsia="Tahoma" w:cs="Tahoma" w:ascii="Tahoma" w:hAnsi="Tahoma"/>
          <w:b w:val="false"/>
          <w:bCs w:val="false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Adesão à Ata de </w:t>
      </w:r>
      <w:r>
        <w:rPr>
          <w:rFonts w:eastAsia="Tahoma" w:cs="Tahoma" w:ascii="Tahoma" w:hAnsi="Tahoma"/>
          <w:b w:val="false"/>
          <w:bCs w:val="false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Registro de </w:t>
      </w:r>
      <w:r>
        <w:rPr>
          <w:rFonts w:eastAsia="Tahoma" w:cs="Tahoma" w:ascii="Tahoma" w:hAnsi="Tahoma"/>
          <w:b w:val="false"/>
          <w:bCs w:val="false"/>
          <w:color w:val="00000A"/>
          <w:spacing w:val="0"/>
          <w:sz w:val="24"/>
          <w:szCs w:val="24"/>
          <w:highlight w:val="white"/>
          <w:lang w:val="pt-BR" w:eastAsia="zh-CN" w:bidi="hi-IN"/>
        </w:rPr>
        <w:t>P</w:t>
      </w:r>
      <w:r>
        <w:rPr>
          <w:rFonts w:eastAsia="Tahoma" w:cs="Tahoma" w:ascii="Tahoma" w:hAnsi="Tahoma"/>
          <w:b w:val="false"/>
          <w:bCs w:val="false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reço para </w:t>
      </w:r>
      <w:r>
        <w:rPr>
          <w:rFonts w:eastAsia="Tahoma" w:cs="Tahoma" w:ascii="Tahoma" w:hAnsi="Tahoma"/>
          <w:b w:val="false"/>
          <w:bCs w:val="false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contratação de empresa especializada para promover a substituição das luminárias que compõe o sistema de iluminação pública do Município de Muriaé por novas luminárias de LED, incluindo o fornecimento do material necessário e a manutenção do sistema pelo prazo de garantia dos produtos fornecidos e instalados.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 priori, cabe à Administração Pública, de forma facultativa, rever seus atos, revogando-os quando não mais convenientes ao interesse público, e anulando-os, quando contrários à lei. </w:t>
      </w:r>
      <w:r>
        <w:rPr>
          <w:rFonts w:eastAsia="Tahoma" w:cs="Tahoma" w:ascii="Tahoma" w:hAnsi="Tahoma"/>
          <w:b w:val="false"/>
          <w:i w:val="false"/>
          <w:iCs w:val="false"/>
          <w:color w:val="000000"/>
          <w:spacing w:val="0"/>
          <w:sz w:val="24"/>
          <w:szCs w:val="24"/>
          <w:highlight w:val="white"/>
          <w:lang w:val="pt-BR" w:eastAsia="zh-CN" w:bidi="hi-IN"/>
        </w:rPr>
        <w:t>O ato de revogação ou de anulação pela própria Administração, atuando de ofício ou por provocação de terceiros, deve ser motivado, sendo necessário parecer escrito e devidamente fundamentado.</w:t>
      </w:r>
      <w:r>
        <w:rPr>
          <w:rFonts w:eastAsia="Tahoma" w:cs="Tahoma" w:ascii="Tahoma" w:hAnsi="Tahoma"/>
          <w:i w:val="false"/>
          <w:iCs w:val="false"/>
          <w:color w:val="000000"/>
          <w:spacing w:val="0"/>
          <w:sz w:val="24"/>
          <w:szCs w:val="24"/>
          <w:highlight w:val="white"/>
          <w:lang w:val="pt-BR" w:eastAsia="zh-CN" w:bidi="hi-IN"/>
        </w:rPr>
        <w:t xml:space="preserve"> 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Analisando os autos, observa-se que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o certame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obedeceu aos ditames legais, sendo observadas as exigências contidas na Lei 8.666/93, no tocante à modalidade e ao procedimento. Verifica-se que foram cumpridas as formalidades legais, tendo sido comprovada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 observância aos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pressupostos legais da Legislação pertinente. Vale registrar que o presente processo já fora objeto de análise de parecer inicial desta assessoria jurídica, manifestando em favor da regularidade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da adesão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, obedecendo a legislação vigente 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e, inclusive, fora analisado pela empresa Libertas, a qual chancelou a legalidade do procedimento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. Razões pelas quais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 não há que se falar em ilegalidade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, no sentindo de respeito às formalidades procedimentais. 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Todavia,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conforme se percebe, tal processo foi enviado a esta assessoria pois,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após novas consultas de cotações dos materiais e serviços que seriam fornecidos, percebeu-se que a Adesão não se encontrava vantajosa economicamente ao Município e, por tal razão,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não mais interessa à administração pública, no que diz respeito ao interesse púbico.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b w:val="false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Desta feita, tem-se que a administração deve, em todos os casos, atentar-se ao interesse da sociedade, naquilo que envolve a garantia do mínimo existencial, bem como positivar os direitos sociais previstos na Carta Magna. </w:t>
        <w:tab/>
        <w:t xml:space="preserve">  Nesse viés, há de se destacar as pedras de toque do direito administrativo, quais sejam,</w:t>
      </w:r>
      <w:r>
        <w:rPr>
          <w:rFonts w:eastAsia="Tahoma" w:cs="Tahoma" w:ascii="Plus Jakarta Sans;sans-serif" w:hAnsi="Plus Jakarta Sans;sans-serif"/>
          <w:b w:val="false"/>
          <w:i w:val="false"/>
          <w:caps w:val="false"/>
          <w:smallCaps w:val="false"/>
          <w:color w:val="334155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a Supremacia do Interesse Público sobre o particular e a Indisponibilidade do Interesse Público.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Esses princípios conferem verdadeiros privilégios ao administrador, que ao fazer uso dessas prerrogativas, faz com que o administrado se submeta a elas.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Open Sans" w:cs="Tahoma"/>
          <w:i w:val="false"/>
          <w:i w:val="false"/>
          <w:caps w:val="false"/>
          <w:smallCaps w:val="false"/>
          <w:color w:val="auto"/>
          <w:spacing w:val="0"/>
          <w:sz w:val="24"/>
          <w:szCs w:val="24"/>
          <w:highlight w:val="white"/>
          <w:lang w:val="pt-BR"/>
        </w:rPr>
      </w:pP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Trazendo tais princípios à presente discussão, a</w:t>
      </w:r>
      <w:r>
        <w:rPr>
          <w:rFonts w:eastAsia="Tahoma" w:cs="Tahoma" w:ascii="Tahoma" w:hAnsi="Tahom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Supremacia do Interesse Público sobre o Particular, estabelece que o interesse do Estado deve prevalecer em relação ao interesse do privado, ainda que o último seja legítimo. </w:t>
        <w:tab/>
        <w:t xml:space="preserve">     Sobre esse olhar,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questiona-se a necessidade da realização de uma 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contratação 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que, 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embora trate de serviço de interesse da Administração Pública, aparentemente, possui valor consideravelmente mais alto do que poderia ser atingido em eventual Processo Licitatório próprio. </w:t>
      </w:r>
      <w:r>
        <w:rPr>
          <w:rFonts w:eastAsia="Tahoma" w:cs="Tahoma" w:ascii="Tahoma" w:hAnsi="Tahoma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Portanto, a contratação aqui analisada, desrespeita </w:t>
      </w:r>
      <w:r>
        <w:rPr>
          <w:rFonts w:eastAsia="Open Sans" w:cs="Tahoma" w:ascii="Tahoma" w:hAnsi="Tahoma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/>
        </w:rPr>
        <w:t xml:space="preserve">o princípio da </w:t>
      </w:r>
      <w:r>
        <w:rPr>
          <w:rFonts w:eastAsia="Open Sans" w:cs="Tahoma" w:ascii="Tahoma" w:hAnsi="Tahoma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/>
        </w:rPr>
        <w:t xml:space="preserve">busca da </w:t>
      </w:r>
      <w:r>
        <w:rPr>
          <w:rFonts w:eastAsia="Open Sans" w:cs="Tahoma" w:ascii="Tahoma" w:hAnsi="Tahoma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/>
        </w:rPr>
        <w:t xml:space="preserve"> proposta mais vantajosa </w:t>
      </w:r>
      <w:r>
        <w:rPr>
          <w:rFonts w:eastAsia="Open Sans" w:cs="Tahoma" w:ascii="Tahoma" w:hAnsi="Tahoma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/>
        </w:rPr>
        <w:t>ao Erário</w:t>
      </w:r>
      <w:r>
        <w:rPr>
          <w:rFonts w:eastAsia="Open Sans" w:cs="Tahoma" w:ascii="Tahoma" w:hAnsi="Tahoma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pt-BR"/>
        </w:rPr>
        <w:t>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/>
          <w:i w:val="false"/>
          <w:i w:val="false"/>
          <w:iCs w:val="false"/>
          <w:sz w:val="24"/>
          <w:szCs w:val="24"/>
        </w:rPr>
      </w:pPr>
      <w:r>
        <w:rPr>
          <w:rFonts w:eastAsia="Tahoma" w:cs="Tahoma" w:ascii="Tahoma" w:hAnsi="Tahoma"/>
          <w:b w:val="false"/>
          <w:bCs w:val="false"/>
          <w:i w:val="false"/>
          <w:i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No que tange às formalidades pertinentes ao assunto, a  Administração, utilizando-se do poder de autotutela, tem o dever de anular seus próprios atos, em razão de ilegalidade, ou, ainda, pode revogá-los, por motivo de interesse público superveniente desde que devidamente comprovado.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Dessa maneira, Tendo em vista o valor extremamente considerável do certame e, após análise minuciosa de todo o processo licitatório, conclui-se que, no intuito de buscar a aplicação dos princípios norteadores da Administração Pública, mais especificamente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u w:val="single"/>
          <w:lang w:val="pt-BR" w:eastAsia="zh-CN" w:bidi="hi-IN"/>
        </w:rPr>
        <w:t>a indisponibilidade do interesse público e a supremacia do interesse público sobre o interesse privado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, defendendo a economicidade e a proposta mais vantajosa, necessária se faz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A REVOGAÇÃO DO PROCESSO LICITATÓRIO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Diante da impossibilidade do prosseguimento, a revogação do Procedimento Licitatório torna-se obrigatória, haja vista ser uma das funções da Administração Pública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resguardar o interesse público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, diante dos aspectos econômicos, operacional e finalístico. 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>Com efeito, necessário fundamentar no posicionamento da Jurisprudência pátria e pela análise da previsão do art. 49 da Lei 8.666/93 a possibilidade da revogação dos itens do Procedimento Licitatório, com razão no interesse público, por ato da própria administração.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O art. 49 da Lei Federal 8.666/93, que trata da revogação do procedimento é de uma clareza exemplar no momento em que dispõe: 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auto" w:line="259" w:before="0" w:after="159"/>
        <w:ind w:left="2268" w:right="0" w:hanging="0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Art. 49. A autoridade competente para a aprovação do procedimento somente poderá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revogar a licitação por razões de interesse público decorrente de fato superveniente devidamente comprovado</w:t>
      </w:r>
      <w:r>
        <w:rPr>
          <w:rFonts w:eastAsia="Tahoma" w:cs="Tahoma" w:ascii="Tahoma" w:hAnsi="Tahoma"/>
          <w:color w:val="00000A"/>
          <w:spacing w:val="0"/>
          <w:sz w:val="24"/>
          <w:szCs w:val="24"/>
          <w:highlight w:val="white"/>
          <w:lang w:val="pt-BR" w:eastAsia="zh-CN" w:bidi="hi-IN"/>
        </w:rPr>
        <w:t xml:space="preserve">, pertinente e suficiente para justificar tal conduta, devendo anulá-la por ilegalidade, de ofício ou por provocação de terceiros, mediante parecer escrito e devidamente fundamentado. (Grifo nosso). 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In casu, versa-se sobre hipótese de ocorrência de fato superveniente, qual seja, verificação de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que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o valor da contratação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não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é 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mais vantajos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o</w:t>
      </w: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para o Município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.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 Tratando-se ainda de fato pertinente e suficiente para justificar a revogação da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adesão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pela administração, com fundamento no interesse público primário. Portanto, atendidos os requisitos do artigo supracitado.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Por fim, necessário demonstrar que a revogação é um instrumento que não está previsto somente na Lei 8.666/93, pois decorre do próprio ordenamento jurídico da Administração Pública, baseando-se no princípio da autotutela e na Súmula 473, do STF: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auto" w:line="259" w:before="0" w:after="159"/>
        <w:ind w:left="2268" w:right="0" w:hanging="0"/>
        <w:jc w:val="both"/>
        <w:rPr/>
      </w:pPr>
      <w:r>
        <w:rPr>
          <w:rFonts w:eastAsia="Tahoma" w:cs="Tahoma" w:ascii="Tahoma" w:hAnsi="Tahoma"/>
          <w:b/>
          <w:bCs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STF Súmula nº 473-Administração Pública- Anulação ou Revogação dos Seus Próprios Atos: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A administração pode anular seus próprios atos, quando eivados de vícios que os tornam ilegais, porque deles não se originam direitos; ou revogá-los, por motivo de conveniência ou oportunidade, respeitados os direitos adquiridos, e ressalvada, em todos os casos, a apreciação judicial. </w:t>
      </w:r>
    </w:p>
    <w:p>
      <w:pPr>
        <w:pStyle w:val="Normal"/>
        <w:widowControl w:val="false"/>
        <w:spacing w:lineRule="auto" w:line="259" w:before="0" w:after="159"/>
        <w:ind w:right="0" w:hanging="0"/>
        <w:jc w:val="both"/>
        <w:rPr/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ab/>
        <w:t xml:space="preserve">      Igualmente, o entendimento do TCU:</w:t>
      </w:r>
    </w:p>
    <w:p>
      <w:pPr>
        <w:pStyle w:val="Normal"/>
        <w:widowControl w:val="false"/>
        <w:spacing w:lineRule="auto" w:line="259" w:before="0" w:after="159"/>
        <w:ind w:right="0" w:hanging="0"/>
        <w:jc w:val="both"/>
        <w:rPr>
          <w:rFonts w:ascii="Tahoma" w:hAnsi="Tahoma" w:eastAsia="Tahoma" w:cs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auto" w:line="259" w:before="0" w:after="159"/>
        <w:ind w:left="2268" w:right="0" w:hanging="0"/>
        <w:jc w:val="both"/>
        <w:rPr/>
      </w:pP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“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1. O juízo de conveniência e oportunidade a respeito da revogação da licitação é, pela sua própria natureza ato discricionário, privativo da autoridade administrativa que deve resguardar o interesse público.” (Acórdão 111/2007, Plenário, rel. Min. Ubiratan Aguiar).”</w:t>
      </w:r>
    </w:p>
    <w:p>
      <w:pPr>
        <w:pStyle w:val="Normal"/>
        <w:widowControl w:val="fals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Diante de todo o exposto,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highlight w:val="white"/>
          <w:u w:val="single"/>
        </w:rPr>
        <w:t xml:space="preserve">opino pela </w:t>
      </w:r>
      <w:r>
        <w:rPr>
          <w:rFonts w:eastAsia="Tahoma" w:cs="Tahoma" w:ascii="Tahoma" w:hAnsi="Tahoma"/>
          <w:b/>
          <w:bCs/>
          <w:color w:val="00000A"/>
          <w:spacing w:val="0"/>
          <w:sz w:val="24"/>
          <w:szCs w:val="24"/>
          <w:highlight w:val="white"/>
          <w:lang w:val="pt-BR" w:eastAsia="zh-CN" w:bidi="hi-IN"/>
        </w:rPr>
        <w:t>REVOGAÇÃO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 do Processo Licitatório nº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064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>/202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  <w:lang w:val="pt-BR"/>
        </w:rPr>
        <w:t>2</w:t>
      </w:r>
      <w:bookmarkStart w:id="0" w:name="_GoBack"/>
      <w:bookmarkEnd w:id="0"/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, na modalidade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Adesão a Ata de Registro de Preços 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nº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002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>/202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  <w:lang w:val="pt-BR"/>
        </w:rPr>
        <w:t xml:space="preserve">2 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  <w:lang w:val="pt-BR"/>
        </w:rPr>
        <w:t>do Pregão Eletrônico nº 002/2022 do COMAJA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. A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revogação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 tem fulcro no artigo 49, “caput”, da Lei nº 8.666/93, e nos demais dispositivos citados, escorando-se nos princípios da autotutela, art. 53 da Lei nº 9.784/99, e na súmula 473 do STF. </w:t>
      </w:r>
    </w:p>
    <w:p>
      <w:pPr>
        <w:pStyle w:val="Normal"/>
        <w:widowControl w:val="false"/>
        <w:bidi w:val="0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b w:val="false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Verifica-se que, por força do art. </w:t>
      </w:r>
      <w:hyperlink r:id="rId2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49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 </w:t>
      </w:r>
      <w:hyperlink r:id="rId3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§ 3º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 da </w:t>
      </w:r>
      <w:hyperlink r:id="rId4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Lei de Licitações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 do </w:t>
      </w:r>
      <w:hyperlink r:id="rId5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§ 3º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 do art. </w:t>
      </w:r>
      <w:hyperlink r:id="rId6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62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 da Lei Federal n.º </w:t>
      </w:r>
      <w:hyperlink r:id="rId7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13.303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/2016 e do previsto no art. </w:t>
      </w:r>
      <w:hyperlink r:id="rId8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5º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 </w:t>
      </w:r>
      <w:hyperlink r:id="rId9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LV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 da </w:t>
      </w:r>
      <w:hyperlink r:id="rId10">
        <w:r>
          <w:rPr>
            <w:rStyle w:val="LinkdaInternet"/>
            <w:rFonts w:eastAsia="Tahoma" w:cs="Tahoma" w:ascii="Tahoma" w:hAnsi="Tahoma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4"/>
            <w:szCs w:val="24"/>
            <w:highlight w:val="white"/>
            <w:u w:val="none"/>
            <w:lang w:val="pt-BR" w:eastAsia="zh-CN" w:bidi="hi-IN"/>
          </w:rPr>
          <w:t>Constituição Federal</w:t>
        </w:r>
      </w:hyperlink>
      <w:r>
        <w:rPr>
          <w:rFonts w:eastAsia="Tahoma" w:cs="Tahoma" w:ascii="Tahoma" w:hAnsi="Tahom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, tanto nos casos de revogação quanto nos casos de anulação, antes do desfazimento do procedimento licitatório, deve-se oportunizar o contraditório e ampla defesa.</w:t>
      </w:r>
      <w:r>
        <w:rPr>
          <w:rFonts w:eastAsia="Tahoma" w:cs="Tahoma" w:ascii="Tahoma" w:hAnsi="Tahoma"/>
          <w:b w:val="false"/>
          <w:bCs w:val="false"/>
          <w:i w:val="false"/>
          <w:i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 </w:t>
      </w:r>
      <w:r>
        <w:rPr>
          <w:rFonts w:eastAsia="Tahoma" w:cs="Tahoma" w:ascii="Tahoma" w:hAnsi="Tahoma"/>
          <w:b w:val="false"/>
          <w:bCs w:val="false"/>
          <w:i w:val="false"/>
          <w:i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Desta feita, dê-se vista à empresa contratada para manifestar no prazo de 5 (cinco) dias.</w:t>
      </w:r>
    </w:p>
    <w:p>
      <w:pPr>
        <w:pStyle w:val="Normal"/>
        <w:widowControl w:val="false"/>
        <w:bidi w:val="0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b w:val="false"/>
          <w:b w:val="false"/>
          <w:b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b w:val="false"/>
          <w:bCs w:val="false"/>
          <w:i w:val="false"/>
          <w:iCs w:val="false"/>
          <w:color w:val="000000"/>
          <w:spacing w:val="0"/>
          <w:kern w:val="0"/>
          <w:sz w:val="24"/>
          <w:szCs w:val="24"/>
          <w:highlight w:val="white"/>
          <w:lang w:val="pt-BR" w:eastAsia="zh-CN" w:bidi="hi-IN"/>
        </w:rPr>
        <w:t>Por fim, destaca-se que, embora contratualizado, nenhuma ordem de fornecimento fora expedida à empresa, portanto não há que se falar em dano, visto que, consequentemente, esta não executou serviços ou forneceu quaisquer materiais.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>É como parece a questão, salvo melhor juízo.</w:t>
      </w:r>
    </w:p>
    <w:p>
      <w:pPr>
        <w:pStyle w:val="Normal"/>
        <w:widowControl w:val="false"/>
        <w:spacing w:lineRule="auto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>À consideração superior</w:t>
      </w:r>
    </w:p>
    <w:p>
      <w:pPr>
        <w:pStyle w:val="Normal"/>
        <w:widowControl w:val="false"/>
        <w:spacing w:lineRule="exact" w:line="360" w:before="0" w:after="0"/>
        <w:ind w:left="0" w:right="0" w:firstLine="1134"/>
        <w:jc w:val="both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</w:r>
    </w:p>
    <w:p>
      <w:pPr>
        <w:pStyle w:val="Normal"/>
        <w:widowControl w:val="false"/>
        <w:spacing w:lineRule="exact" w:line="360" w:before="0" w:after="0"/>
        <w:ind w:left="0" w:right="0" w:hanging="0"/>
        <w:jc w:val="center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Muriaé,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18 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de </w:t>
      </w:r>
      <w:r>
        <w:rPr>
          <w:rFonts w:eastAsia="Tahoma" w:cs="Tahoma" w:ascii="Tahoma" w:hAnsi="Tahoma"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 xml:space="preserve">agosto </w:t>
      </w: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>de 2022.</w:t>
      </w:r>
    </w:p>
    <w:p>
      <w:pPr>
        <w:pStyle w:val="Normal"/>
        <w:widowControl w:val="false"/>
        <w:spacing w:lineRule="exact" w:line="360" w:before="0" w:after="0"/>
        <w:ind w:left="0" w:right="0" w:hanging="0"/>
        <w:jc w:val="center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</w:r>
    </w:p>
    <w:p>
      <w:pPr>
        <w:pStyle w:val="Normal"/>
        <w:widowControl w:val="false"/>
        <w:spacing w:lineRule="exact" w:line="360" w:before="0" w:after="0"/>
        <w:ind w:left="0" w:right="0" w:hanging="0"/>
        <w:jc w:val="center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widowControl w:val="false"/>
        <w:spacing w:lineRule="exact" w:line="360" w:before="0" w:after="0"/>
        <w:ind w:left="0" w:right="0" w:hanging="0"/>
        <w:jc w:val="center"/>
        <w:rPr>
          <w:rFonts w:ascii="Tahoma" w:hAnsi="Tahoma" w:eastAsia="Tahoma" w:cs="Tahoma"/>
          <w:color w:val="00000A"/>
          <w:spacing w:val="0"/>
          <w:sz w:val="24"/>
          <w:highlight w:val="white"/>
        </w:rPr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 xml:space="preserve"> </w:t>
      </w:r>
    </w:p>
    <w:p>
      <w:pPr>
        <w:pStyle w:val="Normal"/>
        <w:widowControl w:val="false"/>
        <w:spacing w:lineRule="exact" w:line="240" w:before="0" w:after="0"/>
        <w:ind w:left="0" w:right="0" w:hanging="0"/>
        <w:jc w:val="center"/>
        <w:rPr>
          <w:rFonts w:ascii="Tahoma" w:hAnsi="Tahoma" w:eastAsia="Tahoma" w:cs="Tahoma"/>
          <w:b/>
          <w:b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</w:pPr>
      <w:r>
        <w:rPr>
          <w:rFonts w:eastAsia="Tahoma" w:cs="Tahoma" w:ascii="Tahoma" w:hAnsi="Tahoma"/>
          <w:b/>
          <w:color w:val="00000A"/>
          <w:spacing w:val="0"/>
          <w:kern w:val="0"/>
          <w:sz w:val="24"/>
          <w:szCs w:val="24"/>
          <w:highlight w:val="white"/>
          <w:lang w:val="pt-BR" w:eastAsia="zh-CN" w:bidi="hi-IN"/>
        </w:rPr>
        <w:t>Jerônimo Antônio de Almeida</w:t>
      </w:r>
    </w:p>
    <w:p>
      <w:pPr>
        <w:pStyle w:val="Normal"/>
        <w:widowControl w:val="false"/>
        <w:spacing w:lineRule="exact" w:line="240" w:before="0" w:after="0"/>
        <w:ind w:left="0" w:right="0" w:hanging="0"/>
        <w:jc w:val="center"/>
        <w:rPr/>
      </w:pPr>
      <w:r>
        <w:rPr>
          <w:rFonts w:eastAsia="Tahoma" w:cs="Tahoma" w:ascii="Tahoma" w:hAnsi="Tahoma"/>
          <w:color w:val="00000A"/>
          <w:spacing w:val="0"/>
          <w:sz w:val="24"/>
          <w:highlight w:val="white"/>
        </w:rPr>
        <w:t>Assessor Jurídico de Licitações e Contratos</w:t>
      </w:r>
    </w:p>
    <w:sectPr>
      <w:headerReference w:type="default" r:id="rId11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Plus Jakarta Sans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0" w:after="0"/>
      <w:rPr>
        <w:rFonts w:ascii="Times New Roman" w:hAnsi="Times New Roman" w:cs="Times New Roman"/>
        <w:b/>
        <w:b/>
        <w:sz w:val="32"/>
        <w:szCs w:val="32"/>
      </w:rPr>
    </w:pPr>
    <w:r>
      <w:drawing>
        <wp:anchor behindDoc="1" distT="0" distB="0" distL="0" distR="114300" simplePos="0" locked="0" layoutInCell="1" allowOverlap="1" relativeHeight="6">
          <wp:simplePos x="0" y="0"/>
          <wp:positionH relativeFrom="margin">
            <wp:align>left</wp:align>
          </wp:positionH>
          <wp:positionV relativeFrom="paragraph">
            <wp:posOffset>68580</wp:posOffset>
          </wp:positionV>
          <wp:extent cx="1562100" cy="628650"/>
          <wp:effectExtent l="0" t="0" r="0" b="0"/>
          <wp:wrapSquare wrapText="bothSides"/>
          <wp:docPr id="1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2"/>
        <w:szCs w:val="32"/>
      </w:rPr>
      <w:t xml:space="preserve"> </w:t>
    </w:r>
    <w:r>
      <w:rPr>
        <w:rFonts w:cs="Times New Roman" w:ascii="Times New Roman" w:hAnsi="Times New Roman"/>
        <w:b/>
        <w:sz w:val="32"/>
        <w:szCs w:val="32"/>
      </w:rPr>
      <w:t xml:space="preserve">                               </w:t>
    </w:r>
    <w:r>
      <w:rPr>
        <w:rFonts w:cs="Times New Roman" w:ascii="Times New Roman" w:hAnsi="Times New Roman"/>
        <w:b/>
        <w:sz w:val="32"/>
        <w:szCs w:val="32"/>
      </w:rPr>
      <w:t>MUNICÍPIO DE MURIAÉ</w:t>
    </w:r>
  </w:p>
  <w:p>
    <w:pPr>
      <w:pStyle w:val="Textbody"/>
      <w:pBdr>
        <w:bottom w:val="single" w:sz="12" w:space="0" w:color="00000A"/>
      </w:pBdr>
      <w:spacing w:before="0" w:after="0"/>
      <w:rPr>
        <w:rFonts w:ascii="Times New Roman" w:hAnsi="Times New Roman" w:cs="Times New Roman"/>
        <w:b w:val="false"/>
        <w:b w:val="false"/>
        <w:bCs w:val="false"/>
        <w:sz w:val="32"/>
        <w:szCs w:val="32"/>
      </w:rPr>
    </w:pPr>
    <w:r>
      <w:rPr>
        <w:rFonts w:cs="Times New Roman" w:ascii="Times New Roman" w:hAnsi="Times New Roman"/>
        <w:b w:val="false"/>
        <w:bCs w:val="false"/>
        <w:sz w:val="32"/>
        <w:szCs w:val="32"/>
      </w:rPr>
      <w:t xml:space="preserve">                                </w:t>
    </w:r>
    <w:r>
      <w:rPr>
        <w:rFonts w:cs="Times New Roman" w:ascii="Times New Roman" w:hAnsi="Times New Roman"/>
        <w:b w:val="false"/>
        <w:bCs w:val="false"/>
        <w:sz w:val="32"/>
        <w:szCs w:val="32"/>
      </w:rPr>
      <w:t>SECRETARIA DE ADMINISTRAÇÃO</w:t>
    </w:r>
  </w:p>
  <w:p>
    <w:pPr>
      <w:pStyle w:val="Textbody"/>
      <w:pBdr>
        <w:bottom w:val="single" w:sz="12" w:space="0" w:color="00000A"/>
      </w:pBdr>
      <w:spacing w:before="0" w:after="0"/>
      <w:rPr>
        <w:rFonts w:ascii="Times New Roman" w:hAnsi="Times New Roman" w:cs="Times New Roman"/>
        <w:b w:val="false"/>
        <w:b w:val="false"/>
        <w:bCs w:val="false"/>
        <w:sz w:val="32"/>
        <w:szCs w:val="32"/>
      </w:rPr>
    </w:pPr>
    <w:r>
      <w:rPr>
        <w:rFonts w:cs="Times New Roman" w:ascii="Times New Roman" w:hAnsi="Times New Roman"/>
        <w:b w:val="false"/>
        <w:bCs w:val="false"/>
        <w:sz w:val="32"/>
        <w:szCs w:val="32"/>
      </w:rPr>
      <w:t xml:space="preserve">                                </w:t>
    </w:r>
    <w:r>
      <w:rPr>
        <w:rFonts w:cs="Times New Roman" w:ascii="Times New Roman" w:hAnsi="Times New Roman"/>
        <w:b w:val="false"/>
        <w:bCs w:val="false"/>
        <w:sz w:val="32"/>
        <w:szCs w:val="32"/>
      </w:rPr>
      <w:t>SETOR DE LICITAÇÕES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Nfase">
    <w:name w:val="Ênfase"/>
    <w:basedOn w:val="DefaultParagraphFont"/>
    <w:uiPriority w:val="0"/>
    <w:qFormat/>
    <w:rPr>
      <w:i/>
      <w:iCs/>
    </w:rPr>
  </w:style>
  <w:style w:type="character" w:styleId="CabealhoChar" w:customStyle="1">
    <w:name w:val="Cabeçalho Char"/>
    <w:basedOn w:val="DefaultParagraphFont"/>
    <w:uiPriority w:val="0"/>
    <w:qFormat/>
    <w:rPr/>
  </w:style>
  <w:style w:type="character" w:styleId="RodapChar" w:customStyle="1">
    <w:name w:val="Rodapé Char"/>
    <w:basedOn w:val="DefaultParagraphFont"/>
    <w:uiPriority w:val="0"/>
    <w:qFormat/>
    <w:rPr/>
  </w:style>
  <w:style w:type="character" w:styleId="LinkdaInternet" w:customStyle="1">
    <w:name w:val="Link da Internet"/>
    <w:uiPriority w:val="0"/>
    <w:rPr>
      <w:color w:val="000080"/>
      <w:u w:val="single"/>
      <w:lang w:val="zh-CN" w:eastAsia="zh-CN" w:bidi="zh-C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88" w:before="0" w:after="140"/>
    </w:pPr>
    <w:rPr/>
  </w:style>
  <w:style w:type="paragraph" w:styleId="Lista">
    <w:name w:val="List"/>
    <w:basedOn w:val="Corpodotexto"/>
    <w:uiPriority w:val="0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">
    <w:name w:val="Header"/>
    <w:basedOn w:val="Normal"/>
    <w:uiPriority w:val="0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0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 w:customStyle="1">
    <w:name w:val="Text body"/>
    <w:basedOn w:val="Normal"/>
    <w:uiPriority w:val="0"/>
    <w:qFormat/>
    <w:pPr>
      <w:suppressAutoHyphens w:val="true"/>
      <w:spacing w:lineRule="auto" w:line="288" w:before="0" w:after="140"/>
      <w:textAlignment w:val="baseline"/>
    </w:pPr>
    <w:rPr>
      <w:rFonts w:ascii="Arial" w:hAnsi="Arial" w:eastAsia="Arial" w:cs="Arial"/>
      <w:b/>
      <w:bCs/>
      <w:sz w:val="20"/>
      <w:szCs w:val="20"/>
      <w:lang w:eastAsia="zh-CN" w:bidi="hi-IN"/>
    </w:rPr>
  </w:style>
  <w:style w:type="paragraph" w:styleId="Ttulo1" w:customStyle="1">
    <w:name w:val="Título1"/>
    <w:basedOn w:val="Normal"/>
    <w:uiPriority w:val="0"/>
    <w:qFormat/>
    <w:pPr>
      <w:keepNext w:val="true"/>
      <w:suppressAutoHyphens w:val="true"/>
      <w:spacing w:lineRule="auto" w:line="240" w:before="240" w:after="120"/>
    </w:pPr>
    <w:rPr>
      <w:rFonts w:ascii="Nimbus Sans L" w:hAnsi="Nimbus Sans L" w:eastAsia="Nimbus Sans L" w:cs="Lucidasans"/>
      <w:sz w:val="28"/>
      <w:szCs w:val="28"/>
      <w:lang w:eastAsia="zh-CN"/>
    </w:rPr>
  </w:style>
  <w:style w:type="paragraph" w:styleId="ListParagraph" w:customStyle="1">
    <w:name w:val="List Paragraph"/>
    <w:basedOn w:val="Normal"/>
    <w:uiPriority w:val="0"/>
    <w:qFormat/>
    <w:pPr>
      <w:spacing w:before="0" w:after="160"/>
      <w:ind w:left="720" w:right="0" w:hanging="0"/>
      <w:contextualSpacing/>
    </w:pPr>
    <w:rPr/>
  </w:style>
  <w:style w:type="table" w:default="1" w:styleId="10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topicos/11304105/artigo-49-da-lei-n-8666-de-21-de-junho-de-1993" TargetMode="External"/><Relationship Id="rId3" Type="http://schemas.openxmlformats.org/officeDocument/2006/relationships/hyperlink" Target="https://www.jusbrasil.com.br/topicos/11304012/par&#225;grafo-3-artigo-49-da-lei-n-8666-de-21-de-junho-de-1993" TargetMode="External"/><Relationship Id="rId4" Type="http://schemas.openxmlformats.org/officeDocument/2006/relationships/hyperlink" Target="https://www.jusbrasil.com.br/legislacao/1027021/lei-de-licita&#231;&#245;es-lei-8666-93" TargetMode="External"/><Relationship Id="rId5" Type="http://schemas.openxmlformats.org/officeDocument/2006/relationships/hyperlink" Target="https://www.jusbrasil.com.br/topicos/116447045/par&#225;grafo-3-artigo-62-da-lei-n-13303-de-30-de-junho-de-2016" TargetMode="External"/><Relationship Id="rId6" Type="http://schemas.openxmlformats.org/officeDocument/2006/relationships/hyperlink" Target="https://www.jusbrasil.com.br/topicos/116447051/artigo-62-da-lei-n-13303-de-30-de-junho-de-2016" TargetMode="External"/><Relationship Id="rId7" Type="http://schemas.openxmlformats.org/officeDocument/2006/relationships/hyperlink" Target="https://www.jusbrasil.com.br/legislacao/356570084/lei-13303-16" TargetMode="External"/><Relationship Id="rId8" Type="http://schemas.openxmlformats.org/officeDocument/2006/relationships/hyperlink" Target="https://www.jusbrasil.com.br/topicos/10641516/artigo-5-da-constitui&#231;&#227;o-federal-de-1988" TargetMode="External"/><Relationship Id="rId9" Type="http://schemas.openxmlformats.org/officeDocument/2006/relationships/hyperlink" Target="https://www.jusbrasil.com.br/topicos/10728312/inciso-lv-do-artigo-5-da-constitui&#231;&#227;o-federal-de-1988" TargetMode="External"/><Relationship Id="rId10" Type="http://schemas.openxmlformats.org/officeDocument/2006/relationships/hyperlink" Target="https://www.jusbrasil.com.br/legislacao/155571402/constitui&#231;&#227;o-federal-constitui&#231;&#227;o-da-republica-federativa-do-brasil-1988" TargetMode="External"/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Application>LibreOffice/6.4.7.2$Windows_X86_64 LibreOffice_project/639b8ac485750d5696d7590a72ef1b496725cfb5</Application>
  <Pages>5</Pages>
  <Words>1228</Words>
  <Characters>7057</Characters>
  <CharactersWithSpaces>13481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2021-01-26T11:42:00Z</dcterms:created>
  <dc:creator>Natã Almeida Souza Pereira</dc:creator>
  <dc:description/>
  <dc:language>pt-BR</dc:language>
  <cp:lastModifiedBy/>
  <cp:lastPrinted>2022-08-18T16:06:01Z</cp:lastPrinted>
  <dcterms:modified xsi:type="dcterms:W3CDTF">2022-08-18T16:18:06Z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KSOProductBuildVer">
    <vt:lpwstr>1046-10.2.0.5871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