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sz w:val="24"/>
          <w:szCs w:val="24"/>
        </w:rPr>
      </w:pPr>
      <w:r>
        <w:rPr>
          <w:rFonts w:ascii="Arial" w:hAnsi="Arial"/>
          <w:b/>
          <w:sz w:val="24"/>
          <w:szCs w:val="24"/>
        </w:rPr>
        <w:t xml:space="preserve">ANEXO I </w:t>
      </w:r>
    </w:p>
    <w:p>
      <w:pPr>
        <w:pStyle w:val="Normal"/>
        <w:jc w:val="center"/>
        <w:rPr>
          <w:rFonts w:ascii="Arial" w:hAnsi="Arial"/>
          <w:sz w:val="24"/>
          <w:szCs w:val="24"/>
        </w:rPr>
      </w:pPr>
      <w:r>
        <w:rPr>
          <w:rFonts w:ascii="Arial" w:hAnsi="Arial"/>
          <w:b/>
          <w:sz w:val="24"/>
          <w:szCs w:val="24"/>
        </w:rPr>
        <w:t>TERMO DE REFERÊNCIA DE SINALIZAÇÃO SEMAFÓRICA</w:t>
      </w:r>
    </w:p>
    <w:p>
      <w:pPr>
        <w:pStyle w:val="Normal"/>
        <w:jc w:val="both"/>
        <w:rPr>
          <w:rFonts w:ascii="Arial" w:hAnsi="Arial"/>
          <w:sz w:val="24"/>
          <w:szCs w:val="24"/>
        </w:rPr>
      </w:pPr>
      <w:r>
        <w:rPr>
          <w:rFonts w:ascii="Arial" w:hAnsi="Arial"/>
          <w:sz w:val="24"/>
          <w:szCs w:val="24"/>
        </w:rPr>
        <w:t>Este Termo de Referência visa estabelecer normas e diretrizes para a realização de Serviços de Sinalização Semafórica com fornecimento de materiais, sob o regime de comodato.</w:t>
      </w:r>
    </w:p>
    <w:p>
      <w:pPr>
        <w:pStyle w:val="Normal"/>
        <w:jc w:val="both"/>
        <w:rPr>
          <w:rFonts w:ascii="Arial" w:hAnsi="Arial"/>
          <w:sz w:val="24"/>
          <w:szCs w:val="24"/>
        </w:rPr>
      </w:pPr>
      <w:r>
        <w:rPr>
          <w:rFonts w:ascii="Arial" w:hAnsi="Arial"/>
          <w:sz w:val="24"/>
          <w:szCs w:val="24"/>
        </w:rPr>
        <w:t>Os serviços consistem em disponibilizar ao município o funcionamento de interseções semafóricas, com o emprego de equipamentos, materiais e mão de obra especializada, padronizados para este tipo de sinalização e manter o seu funcionamento em perfeito estado, de acordo com o que rege o ANEXO I – TERMO DE REFERÊNCIA.</w:t>
      </w:r>
    </w:p>
    <w:p>
      <w:pPr>
        <w:pStyle w:val="Normal"/>
        <w:jc w:val="both"/>
        <w:rPr>
          <w:rFonts w:ascii="Arial" w:hAnsi="Arial"/>
          <w:sz w:val="24"/>
          <w:szCs w:val="24"/>
        </w:rPr>
      </w:pPr>
      <w:r>
        <w:rPr>
          <w:rFonts w:ascii="Arial" w:hAnsi="Arial"/>
          <w:b/>
          <w:sz w:val="24"/>
          <w:szCs w:val="24"/>
        </w:rPr>
        <w:t>Interseções Semafóricas a serem remodeladas com os materiais do Anexo II.</w:t>
      </w:r>
    </w:p>
    <w:p>
      <w:pPr>
        <w:pStyle w:val="ListParagraph"/>
        <w:numPr>
          <w:ilvl w:val="0"/>
          <w:numId w:val="3"/>
        </w:numPr>
        <w:jc w:val="both"/>
        <w:rPr>
          <w:rFonts w:ascii="Arial" w:hAnsi="Arial"/>
          <w:sz w:val="24"/>
          <w:szCs w:val="24"/>
        </w:rPr>
      </w:pPr>
      <w:r>
        <w:rPr>
          <w:rFonts w:ascii="Arial" w:hAnsi="Arial"/>
          <w:sz w:val="24"/>
          <w:szCs w:val="24"/>
        </w:rPr>
        <w:t>Rua Souza Castro, 88 x Praça Cel. Tibúrcio</w:t>
      </w:r>
    </w:p>
    <w:p>
      <w:pPr>
        <w:pStyle w:val="ListParagraph"/>
        <w:numPr>
          <w:ilvl w:val="0"/>
          <w:numId w:val="3"/>
        </w:numPr>
        <w:jc w:val="both"/>
        <w:rPr>
          <w:rFonts w:ascii="Arial" w:hAnsi="Arial"/>
          <w:sz w:val="24"/>
          <w:szCs w:val="24"/>
        </w:rPr>
      </w:pPr>
      <w:r>
        <w:rPr>
          <w:rFonts w:ascii="Arial" w:hAnsi="Arial"/>
          <w:sz w:val="24"/>
          <w:szCs w:val="24"/>
        </w:rPr>
        <w:t>Rua Benedito Valadares x Rua Osvaldo Cruz</w:t>
      </w:r>
    </w:p>
    <w:p>
      <w:pPr>
        <w:pStyle w:val="ListParagraph"/>
        <w:numPr>
          <w:ilvl w:val="0"/>
          <w:numId w:val="3"/>
        </w:numPr>
        <w:jc w:val="both"/>
        <w:rPr>
          <w:rFonts w:ascii="Arial" w:hAnsi="Arial"/>
          <w:sz w:val="24"/>
          <w:szCs w:val="24"/>
        </w:rPr>
      </w:pPr>
      <w:r>
        <w:rPr>
          <w:rFonts w:ascii="Arial" w:hAnsi="Arial"/>
          <w:sz w:val="24"/>
          <w:szCs w:val="24"/>
        </w:rPr>
        <w:t>Av. Cel. Monteiro de Castro x Rua Osvaldo Cruz</w:t>
      </w:r>
    </w:p>
    <w:p>
      <w:pPr>
        <w:pStyle w:val="ListParagraph"/>
        <w:numPr>
          <w:ilvl w:val="0"/>
          <w:numId w:val="3"/>
        </w:numPr>
        <w:jc w:val="both"/>
        <w:rPr>
          <w:rFonts w:ascii="Arial" w:hAnsi="Arial"/>
          <w:sz w:val="24"/>
          <w:szCs w:val="24"/>
        </w:rPr>
      </w:pPr>
      <w:r>
        <w:rPr>
          <w:rFonts w:ascii="Arial" w:hAnsi="Arial"/>
          <w:sz w:val="24"/>
          <w:szCs w:val="24"/>
        </w:rPr>
        <w:t>Av. Dr. Passos x Av. Constantino Pinto x Av. Maestro Sansão</w:t>
      </w:r>
    </w:p>
    <w:p>
      <w:pPr>
        <w:pStyle w:val="ListParagraph"/>
        <w:numPr>
          <w:ilvl w:val="0"/>
          <w:numId w:val="3"/>
        </w:numPr>
        <w:jc w:val="both"/>
        <w:rPr>
          <w:rFonts w:ascii="Arial" w:hAnsi="Arial"/>
          <w:sz w:val="24"/>
          <w:szCs w:val="24"/>
        </w:rPr>
      </w:pPr>
      <w:r>
        <w:rPr>
          <w:rFonts w:ascii="Arial" w:hAnsi="Arial"/>
          <w:sz w:val="24"/>
          <w:szCs w:val="24"/>
        </w:rPr>
        <w:t>Av. Constantino Pinto x Rua Santa Rita x Rua Cel. Domiciano</w:t>
      </w:r>
    </w:p>
    <w:p>
      <w:pPr>
        <w:pStyle w:val="ListParagraph"/>
        <w:numPr>
          <w:ilvl w:val="0"/>
          <w:numId w:val="3"/>
        </w:numPr>
        <w:jc w:val="both"/>
        <w:rPr>
          <w:rFonts w:ascii="Arial" w:hAnsi="Arial"/>
          <w:sz w:val="24"/>
          <w:szCs w:val="24"/>
        </w:rPr>
      </w:pPr>
      <w:r>
        <w:rPr>
          <w:rFonts w:ascii="Arial" w:hAnsi="Arial"/>
          <w:sz w:val="24"/>
          <w:szCs w:val="24"/>
        </w:rPr>
        <w:t>Av. Cel. Domiciano x Desembargador Canedo</w:t>
      </w:r>
      <w:bookmarkStart w:id="0" w:name="_GoBack"/>
      <w:bookmarkEnd w:id="0"/>
    </w:p>
    <w:p>
      <w:pPr>
        <w:pStyle w:val="ListParagraph"/>
        <w:numPr>
          <w:ilvl w:val="0"/>
          <w:numId w:val="3"/>
        </w:numPr>
        <w:jc w:val="both"/>
        <w:rPr>
          <w:rFonts w:ascii="Arial" w:hAnsi="Arial"/>
          <w:sz w:val="24"/>
          <w:szCs w:val="24"/>
        </w:rPr>
      </w:pPr>
      <w:r>
        <w:rPr>
          <w:rFonts w:ascii="Arial" w:hAnsi="Arial"/>
          <w:sz w:val="24"/>
          <w:szCs w:val="24"/>
        </w:rPr>
        <w:t>Praça Cel. P. de Medeiros x Rua Efigênia de Freitas x Rua Presidente Arthur Bernardes</w:t>
      </w:r>
    </w:p>
    <w:p>
      <w:pPr>
        <w:pStyle w:val="ListParagraph"/>
        <w:numPr>
          <w:ilvl w:val="0"/>
          <w:numId w:val="3"/>
        </w:numPr>
        <w:jc w:val="both"/>
        <w:rPr>
          <w:rFonts w:ascii="Arial" w:hAnsi="Arial"/>
          <w:sz w:val="24"/>
          <w:szCs w:val="24"/>
        </w:rPr>
      </w:pPr>
      <w:r>
        <w:rPr>
          <w:rFonts w:ascii="Arial" w:hAnsi="Arial"/>
          <w:sz w:val="24"/>
          <w:szCs w:val="24"/>
        </w:rPr>
        <w:t>Av. JK x Rua Efigênia de Freitas</w:t>
      </w:r>
    </w:p>
    <w:p>
      <w:pPr>
        <w:pStyle w:val="ListParagraph"/>
        <w:numPr>
          <w:ilvl w:val="0"/>
          <w:numId w:val="3"/>
        </w:numPr>
        <w:jc w:val="both"/>
        <w:rPr>
          <w:rFonts w:ascii="Arial" w:hAnsi="Arial"/>
          <w:sz w:val="24"/>
          <w:szCs w:val="24"/>
        </w:rPr>
      </w:pPr>
      <w:r>
        <w:rPr>
          <w:rFonts w:ascii="Arial" w:hAnsi="Arial"/>
          <w:sz w:val="24"/>
          <w:szCs w:val="24"/>
        </w:rPr>
        <w:t>Av. JK x Av. Cel. Amador P. de Barros</w:t>
      </w:r>
    </w:p>
    <w:p>
      <w:pPr>
        <w:pStyle w:val="ListParagraph"/>
        <w:numPr>
          <w:ilvl w:val="0"/>
          <w:numId w:val="3"/>
        </w:numPr>
        <w:jc w:val="both"/>
        <w:rPr>
          <w:rFonts w:ascii="Arial" w:hAnsi="Arial"/>
          <w:sz w:val="24"/>
          <w:szCs w:val="24"/>
        </w:rPr>
      </w:pPr>
      <w:r>
        <w:rPr>
          <w:rFonts w:ascii="Arial" w:hAnsi="Arial"/>
          <w:sz w:val="24"/>
          <w:szCs w:val="24"/>
        </w:rPr>
        <w:t>Praça João Pinheiro</w:t>
      </w:r>
    </w:p>
    <w:p>
      <w:pPr>
        <w:pStyle w:val="ListParagraph"/>
        <w:numPr>
          <w:ilvl w:val="0"/>
          <w:numId w:val="3"/>
        </w:numPr>
        <w:jc w:val="both"/>
        <w:rPr>
          <w:rFonts w:ascii="Arial" w:hAnsi="Arial"/>
          <w:sz w:val="24"/>
          <w:szCs w:val="24"/>
        </w:rPr>
      </w:pPr>
      <w:r>
        <w:rPr>
          <w:rFonts w:ascii="Arial" w:hAnsi="Arial"/>
          <w:sz w:val="24"/>
          <w:szCs w:val="24"/>
        </w:rPr>
        <w:t>Av. Cel. Marciano Rodrigues x Rua Francisco Navarro Carreteiro</w:t>
      </w:r>
    </w:p>
    <w:p>
      <w:pPr>
        <w:pStyle w:val="Normal"/>
        <w:jc w:val="both"/>
        <w:rPr>
          <w:rFonts w:ascii="Arial" w:hAnsi="Arial"/>
          <w:sz w:val="24"/>
          <w:szCs w:val="24"/>
        </w:rPr>
      </w:pPr>
      <w:r>
        <w:rPr>
          <w:rFonts w:ascii="Arial" w:hAnsi="Arial"/>
          <w:b/>
          <w:sz w:val="24"/>
          <w:szCs w:val="24"/>
        </w:rPr>
        <w:t>DOS MATERIAIS</w:t>
      </w:r>
    </w:p>
    <w:p>
      <w:pPr>
        <w:pStyle w:val="Normal"/>
        <w:jc w:val="both"/>
        <w:rPr>
          <w:rFonts w:ascii="Arial" w:hAnsi="Arial"/>
          <w:sz w:val="24"/>
          <w:szCs w:val="24"/>
        </w:rPr>
      </w:pPr>
      <w:r>
        <w:rPr>
          <w:rFonts w:ascii="Arial" w:hAnsi="Arial"/>
          <w:sz w:val="24"/>
          <w:szCs w:val="24"/>
        </w:rPr>
        <w:t xml:space="preserve">A Contratada será responsável pela disponibilização de todos os materiais relacionados na planilha do </w:t>
      </w:r>
      <w:r>
        <w:rPr>
          <w:rFonts w:ascii="Arial" w:hAnsi="Arial"/>
          <w:b/>
          <w:sz w:val="24"/>
          <w:szCs w:val="24"/>
        </w:rPr>
        <w:t>Anexo II (a), (b), (c), (d), (e), (f), (g), (h), (i), (j) e (l),</w:t>
      </w:r>
      <w:r>
        <w:rPr>
          <w:rFonts w:ascii="Arial" w:hAnsi="Arial"/>
          <w:sz w:val="24"/>
          <w:szCs w:val="24"/>
        </w:rPr>
        <w:t xml:space="preserve"> bem como todos aqueles necessários para as manutenções a serem realizadas durante a vigência do contrato. </w:t>
      </w:r>
    </w:p>
    <w:p>
      <w:pPr>
        <w:pStyle w:val="Normal"/>
        <w:jc w:val="both"/>
        <w:rPr>
          <w:rFonts w:ascii="Arial" w:hAnsi="Arial"/>
          <w:sz w:val="24"/>
          <w:szCs w:val="24"/>
        </w:rPr>
      </w:pPr>
      <w:r>
        <w:rPr>
          <w:rFonts w:ascii="Arial" w:hAnsi="Arial"/>
          <w:sz w:val="24"/>
          <w:szCs w:val="24"/>
        </w:rPr>
        <w:t xml:space="preserve">Independentemente da quantidade e do motivo que gerou a pane no semáforo, o mesmo deverá ser reparado sem que incida qualquer custo financeiro adicional ao já estabelecido no valor mensal do contrato. </w:t>
      </w:r>
    </w:p>
    <w:p>
      <w:pPr>
        <w:pStyle w:val="Normal"/>
        <w:jc w:val="both"/>
        <w:rPr>
          <w:rFonts w:ascii="Arial" w:hAnsi="Arial"/>
          <w:sz w:val="24"/>
          <w:szCs w:val="24"/>
        </w:rPr>
      </w:pPr>
      <w:r>
        <w:rPr>
          <w:rFonts w:ascii="Arial" w:hAnsi="Arial"/>
          <w:sz w:val="24"/>
          <w:szCs w:val="24"/>
        </w:rPr>
        <w:t xml:space="preserve">Somente no caso de avaria na sinalização por atos de vandalismo e abalroamento, a Contratante deverá fornecer o material para a substituição do danificado, ficando a cargo da Contratada a disponibilização da mão de obra e de equipamentos para o reparo da sinalização. Caso a Contratante apresente o Boletim de Ocorrência da PMMG, sob o fato ocorrido, ficará isenta do fornecimento do material danificado e nesse caso, a Contratada deverá fornece-lo(s). </w:t>
      </w:r>
    </w:p>
    <w:p>
      <w:pPr>
        <w:pStyle w:val="Normal"/>
        <w:jc w:val="both"/>
        <w:rPr>
          <w:rFonts w:ascii="Arial" w:hAnsi="Arial"/>
          <w:sz w:val="24"/>
          <w:szCs w:val="24"/>
        </w:rPr>
      </w:pPr>
      <w:r>
        <w:rPr>
          <w:rFonts w:ascii="Arial" w:hAnsi="Arial"/>
          <w:b/>
          <w:sz w:val="24"/>
          <w:szCs w:val="24"/>
        </w:rPr>
        <w:t>DOS SERVIÇOS</w:t>
      </w:r>
    </w:p>
    <w:p>
      <w:pPr>
        <w:pStyle w:val="Normal"/>
        <w:jc w:val="both"/>
        <w:rPr>
          <w:rFonts w:ascii="Arial" w:hAnsi="Arial"/>
          <w:sz w:val="24"/>
          <w:szCs w:val="24"/>
        </w:rPr>
      </w:pPr>
      <w:r>
        <w:rPr>
          <w:rFonts w:ascii="Arial" w:hAnsi="Arial"/>
          <w:sz w:val="24"/>
          <w:szCs w:val="24"/>
        </w:rPr>
        <w:t xml:space="preserve">A partir da assinatura do contrato, a empresa Contratada deverá disponibilizar mão de obra especializada, veículos, equipamentos e materiais, em quantidade suficiente para a execução dos serviços contratados. </w:t>
      </w:r>
    </w:p>
    <w:p>
      <w:pPr>
        <w:pStyle w:val="Normal"/>
        <w:jc w:val="both"/>
        <w:rPr>
          <w:rFonts w:ascii="Arial" w:hAnsi="Arial"/>
          <w:sz w:val="24"/>
          <w:szCs w:val="24"/>
        </w:rPr>
      </w:pPr>
      <w:r>
        <w:rPr>
          <w:rFonts w:ascii="Arial" w:hAnsi="Arial"/>
          <w:sz w:val="24"/>
          <w:szCs w:val="24"/>
        </w:rPr>
        <w:t>A Contratada será responsável pela manutenção da sinalização semafórica do município, atuando de forma a intervir na sinalização quando ocorrer pane, devendo repará-la, com ou sem a substituição de peças.</w:t>
      </w:r>
    </w:p>
    <w:p>
      <w:pPr>
        <w:pStyle w:val="Normal"/>
        <w:jc w:val="both"/>
        <w:rPr>
          <w:rFonts w:ascii="Arial" w:hAnsi="Arial"/>
          <w:sz w:val="24"/>
          <w:szCs w:val="24"/>
        </w:rPr>
      </w:pPr>
      <w:r>
        <w:rPr>
          <w:rFonts w:ascii="Arial" w:hAnsi="Arial"/>
          <w:sz w:val="24"/>
          <w:szCs w:val="24"/>
        </w:rPr>
        <w:t>O período máximo para o atendimento de pane na sinalização deverá ser de 1h à 72 horas, considerando que o maior tempo para o reparo será quando ocorrer a recomposição da base de concreto dos postes semafóricos, tempo esse necessário para a cura do concreto da base.</w:t>
      </w:r>
    </w:p>
    <w:p>
      <w:pPr>
        <w:pStyle w:val="Normal"/>
        <w:jc w:val="both"/>
        <w:rPr>
          <w:rFonts w:ascii="Arial" w:hAnsi="Arial"/>
          <w:sz w:val="24"/>
          <w:szCs w:val="24"/>
        </w:rPr>
      </w:pPr>
      <w:r>
        <w:rPr>
          <w:rFonts w:ascii="Arial" w:hAnsi="Arial"/>
          <w:sz w:val="24"/>
          <w:szCs w:val="24"/>
        </w:rPr>
        <w:t>Por se tratar de contratação de serviços especializados sob regime de comodato e que deverão ser registrados em órgão fiscalizador competente, torna a empresa contratada a única responsável pela prestação dos serviços na sinalização. Diante disso, a Prefeitura fica impossibilitada de intervir na sinalização em caso de pane e assim garantir a responsabilidade técnica dos serviços contratados. Porém, em casos de abalroamento na sinalização onde a mesma esteja colocando em risco os que circulam na via, a Prefeitura poderá intervir na sinalização a qualquer tempo, informando à Contratada o fato, para a mobilização e atendimento da ocorrência.</w:t>
      </w:r>
    </w:p>
    <w:p>
      <w:pPr>
        <w:pStyle w:val="Normal"/>
        <w:jc w:val="both"/>
        <w:rPr>
          <w:rFonts w:ascii="Arial" w:hAnsi="Arial"/>
          <w:sz w:val="24"/>
          <w:szCs w:val="24"/>
        </w:rPr>
      </w:pPr>
      <w:r>
        <w:rPr>
          <w:rFonts w:ascii="Arial" w:hAnsi="Arial"/>
          <w:sz w:val="24"/>
          <w:szCs w:val="24"/>
        </w:rPr>
        <w:t>As equipes de manutenção deverão estar disponíveis no período de 2ª à 6ª feira, de 06:00h às 22:00h. Aos sábados, domingos e feriados deverá haver serviços de plantão para atendimento de forma remota no período de 08:00h às 18:00h.</w:t>
      </w:r>
    </w:p>
    <w:p>
      <w:pPr>
        <w:pStyle w:val="Normal"/>
        <w:jc w:val="both"/>
        <w:rPr>
          <w:rFonts w:ascii="Arial" w:hAnsi="Arial"/>
          <w:sz w:val="24"/>
          <w:szCs w:val="24"/>
        </w:rPr>
      </w:pPr>
      <w:r>
        <w:rPr>
          <w:rFonts w:ascii="Arial" w:hAnsi="Arial"/>
          <w:sz w:val="24"/>
          <w:szCs w:val="24"/>
        </w:rPr>
        <w:t>Sem que incorra prejuízo aos serviços de manutenção da sinalização semafórica, a contratada deverá realizar outras atividades para o atendimento integral deste Termo de Referência, a saber:</w:t>
      </w:r>
    </w:p>
    <w:p>
      <w:pPr>
        <w:pStyle w:val="Normal"/>
        <w:jc w:val="both"/>
        <w:rPr>
          <w:rFonts w:ascii="Arial" w:hAnsi="Arial"/>
          <w:sz w:val="24"/>
          <w:szCs w:val="24"/>
        </w:rPr>
      </w:pPr>
      <w:r>
        <w:rPr>
          <w:rFonts w:ascii="Arial" w:hAnsi="Arial"/>
          <w:sz w:val="24"/>
          <w:szCs w:val="24"/>
        </w:rPr>
        <w:t>1 – Realizar Pesquisa de Contagens Volumétricas e Classificatórias de Veículos (CVC) em 11 interseções em conformidade com o Anexo V.</w:t>
      </w:r>
    </w:p>
    <w:p>
      <w:pPr>
        <w:pStyle w:val="Normal"/>
        <w:jc w:val="both"/>
        <w:rPr>
          <w:rFonts w:ascii="Arial" w:hAnsi="Arial"/>
          <w:sz w:val="24"/>
          <w:szCs w:val="24"/>
        </w:rPr>
      </w:pPr>
      <w:r>
        <w:rPr>
          <w:rFonts w:ascii="Arial" w:hAnsi="Arial"/>
          <w:sz w:val="24"/>
          <w:szCs w:val="24"/>
        </w:rPr>
        <w:t>2 – Elaborar Planos de Tráfego baseados na Pesquisa CVC, para todas as 11 interseções, nos diversos horários do dia e da semana, incluindo sábado e domingo.</w:t>
      </w:r>
    </w:p>
    <w:p>
      <w:pPr>
        <w:pStyle w:val="Normal"/>
        <w:jc w:val="both"/>
        <w:rPr>
          <w:rFonts w:ascii="Arial" w:hAnsi="Arial"/>
          <w:sz w:val="24"/>
          <w:szCs w:val="24"/>
        </w:rPr>
      </w:pPr>
      <w:r>
        <w:rPr>
          <w:rFonts w:ascii="Arial" w:hAnsi="Arial"/>
          <w:sz w:val="24"/>
          <w:szCs w:val="24"/>
        </w:rPr>
        <w:t>3 – Estruturar cabeamento de rede de comunicação de dados, interligando todos os 11 controladores de tráfego. Fica reservado a cada empresa a melhor técnica conveniente para a comunicação remota com os controladores, desde que comprovada a eficiência de funcionamento.</w:t>
      </w:r>
    </w:p>
    <w:p>
      <w:pPr>
        <w:pStyle w:val="Normal"/>
        <w:jc w:val="both"/>
        <w:rPr>
          <w:rFonts w:ascii="Arial" w:hAnsi="Arial"/>
          <w:sz w:val="24"/>
          <w:szCs w:val="24"/>
        </w:rPr>
      </w:pPr>
      <w:r>
        <w:rPr>
          <w:rFonts w:ascii="Arial" w:hAnsi="Arial"/>
          <w:sz w:val="24"/>
          <w:szCs w:val="24"/>
        </w:rPr>
        <w:t xml:space="preserve">A Contratada realizará os serviços de </w:t>
      </w:r>
      <w:r>
        <w:rPr>
          <w:rFonts w:ascii="Arial" w:hAnsi="Arial"/>
          <w:b/>
          <w:i/>
          <w:sz w:val="24"/>
          <w:szCs w:val="24"/>
        </w:rPr>
        <w:t>Manutenção Preventiva</w:t>
      </w:r>
      <w:r>
        <w:rPr>
          <w:rFonts w:ascii="Arial" w:hAnsi="Arial"/>
          <w:sz w:val="24"/>
          <w:szCs w:val="24"/>
        </w:rPr>
        <w:t xml:space="preserve"> a cada período de 1 ano. Durante a execução desses serviços, a Prefeitura deverá disponibilizar responsável legal (Agente de Trânsito/Polícia Militar), para atuar no controle do trânsito e garantir a segurança de motoristas e pedestres.</w:t>
      </w:r>
    </w:p>
    <w:p>
      <w:pPr>
        <w:pStyle w:val="Normal"/>
        <w:jc w:val="both"/>
        <w:rPr>
          <w:rFonts w:ascii="Arial" w:hAnsi="Arial"/>
          <w:sz w:val="24"/>
          <w:szCs w:val="24"/>
        </w:rPr>
      </w:pPr>
      <w:r>
        <w:rPr>
          <w:rFonts w:ascii="Arial" w:hAnsi="Arial"/>
          <w:b/>
          <w:sz w:val="24"/>
          <w:szCs w:val="24"/>
        </w:rPr>
        <w:t xml:space="preserve"> </w:t>
      </w:r>
      <w:r>
        <w:rPr>
          <w:rFonts w:ascii="Arial" w:hAnsi="Arial"/>
          <w:b/>
          <w:sz w:val="24"/>
          <w:szCs w:val="24"/>
        </w:rPr>
        <w:t>O serviço de Manutenção Preventiva consiste em:</w:t>
      </w:r>
    </w:p>
    <w:p>
      <w:pPr>
        <w:pStyle w:val="ListParagraph"/>
        <w:numPr>
          <w:ilvl w:val="0"/>
          <w:numId w:val="2"/>
        </w:numPr>
        <w:jc w:val="both"/>
        <w:rPr>
          <w:rFonts w:ascii="Arial" w:hAnsi="Arial"/>
          <w:sz w:val="24"/>
          <w:szCs w:val="24"/>
        </w:rPr>
      </w:pPr>
      <w:r>
        <w:rPr>
          <w:rFonts w:ascii="Arial" w:hAnsi="Arial"/>
          <w:sz w:val="24"/>
          <w:szCs w:val="24"/>
        </w:rPr>
        <w:t>Limpeza de todo o mobiliário semafórico, tais como: Postes, grupos focais e controladores de tráfego;</w:t>
      </w:r>
    </w:p>
    <w:p>
      <w:pPr>
        <w:pStyle w:val="ListParagraph"/>
        <w:numPr>
          <w:ilvl w:val="0"/>
          <w:numId w:val="2"/>
        </w:numPr>
        <w:jc w:val="both"/>
        <w:rPr>
          <w:rFonts w:ascii="Arial" w:hAnsi="Arial"/>
          <w:sz w:val="24"/>
          <w:szCs w:val="24"/>
        </w:rPr>
      </w:pPr>
      <w:r>
        <w:rPr>
          <w:rFonts w:ascii="Arial" w:hAnsi="Arial"/>
          <w:sz w:val="24"/>
          <w:szCs w:val="24"/>
        </w:rPr>
        <w:t>Reaperto geral em todas as conexões elétricas dos controladores de tráfego;</w:t>
      </w:r>
    </w:p>
    <w:p>
      <w:pPr>
        <w:pStyle w:val="ListParagraph"/>
        <w:numPr>
          <w:ilvl w:val="0"/>
          <w:numId w:val="2"/>
        </w:numPr>
        <w:jc w:val="both"/>
        <w:rPr>
          <w:rFonts w:ascii="Arial" w:hAnsi="Arial"/>
          <w:sz w:val="24"/>
          <w:szCs w:val="24"/>
        </w:rPr>
      </w:pPr>
      <w:r>
        <w:rPr>
          <w:rFonts w:ascii="Arial" w:hAnsi="Arial"/>
          <w:sz w:val="24"/>
          <w:szCs w:val="24"/>
        </w:rPr>
        <w:t>Conferência da resistência ôhmica do aterramento do controlador de tráfego;</w:t>
      </w:r>
    </w:p>
    <w:p>
      <w:pPr>
        <w:pStyle w:val="ListParagraph"/>
        <w:numPr>
          <w:ilvl w:val="0"/>
          <w:numId w:val="2"/>
        </w:numPr>
        <w:jc w:val="both"/>
        <w:rPr>
          <w:rFonts w:ascii="Arial" w:hAnsi="Arial"/>
          <w:sz w:val="24"/>
          <w:szCs w:val="24"/>
        </w:rPr>
      </w:pPr>
      <w:r>
        <w:rPr>
          <w:rFonts w:ascii="Arial" w:hAnsi="Arial"/>
          <w:sz w:val="24"/>
          <w:szCs w:val="24"/>
        </w:rPr>
        <w:t>Ensaios dos sistemas de proteção do controlador de tráfego de verdes conflitantes;</w:t>
      </w:r>
    </w:p>
    <w:p>
      <w:pPr>
        <w:pStyle w:val="ListParagraph"/>
        <w:numPr>
          <w:ilvl w:val="0"/>
          <w:numId w:val="2"/>
        </w:numPr>
        <w:jc w:val="both"/>
        <w:rPr>
          <w:rFonts w:ascii="Arial" w:hAnsi="Arial"/>
          <w:sz w:val="24"/>
          <w:szCs w:val="24"/>
        </w:rPr>
      </w:pPr>
      <w:r>
        <w:rPr>
          <w:rFonts w:ascii="Arial" w:hAnsi="Arial"/>
          <w:sz w:val="24"/>
          <w:szCs w:val="24"/>
        </w:rPr>
        <w:t>Ensaios dos sistemas de proteção do controlador de tráfego da ausência de vermelho;</w:t>
      </w:r>
    </w:p>
    <w:p>
      <w:pPr>
        <w:pStyle w:val="ListParagraph"/>
        <w:numPr>
          <w:ilvl w:val="0"/>
          <w:numId w:val="2"/>
        </w:numPr>
        <w:jc w:val="both"/>
        <w:rPr>
          <w:rFonts w:ascii="Arial" w:hAnsi="Arial"/>
          <w:sz w:val="24"/>
          <w:szCs w:val="24"/>
        </w:rPr>
      </w:pPr>
      <w:r>
        <w:rPr>
          <w:rFonts w:ascii="Arial" w:hAnsi="Arial"/>
          <w:sz w:val="24"/>
          <w:szCs w:val="24"/>
        </w:rPr>
        <w:t>Verificação e testes do cabeamento da rede de potência dos grupos focais;</w:t>
      </w:r>
    </w:p>
    <w:p>
      <w:pPr>
        <w:pStyle w:val="ListParagraph"/>
        <w:numPr>
          <w:ilvl w:val="0"/>
          <w:numId w:val="2"/>
        </w:numPr>
        <w:jc w:val="both"/>
        <w:rPr>
          <w:rFonts w:ascii="Arial" w:hAnsi="Arial"/>
          <w:sz w:val="24"/>
          <w:szCs w:val="24"/>
        </w:rPr>
      </w:pPr>
      <w:r>
        <w:rPr>
          <w:rFonts w:ascii="Arial" w:hAnsi="Arial"/>
          <w:sz w:val="24"/>
          <w:szCs w:val="24"/>
        </w:rPr>
        <w:t>Verificação e testes da rede de comunicação de dados dos controladores quando existir;</w:t>
      </w:r>
    </w:p>
    <w:p>
      <w:pPr>
        <w:pStyle w:val="ListParagraph"/>
        <w:numPr>
          <w:ilvl w:val="0"/>
          <w:numId w:val="2"/>
        </w:numPr>
        <w:jc w:val="both"/>
        <w:rPr>
          <w:rFonts w:ascii="Arial" w:hAnsi="Arial"/>
          <w:sz w:val="24"/>
          <w:szCs w:val="24"/>
        </w:rPr>
      </w:pPr>
      <w:r>
        <w:rPr>
          <w:rFonts w:ascii="Arial" w:hAnsi="Arial"/>
          <w:sz w:val="24"/>
          <w:szCs w:val="24"/>
        </w:rPr>
        <w:t>Conferência dos Planos de Tráfego inseridos nos controladores, ajustando-os quando necessário, para adequação de nova demanda do fluxo de veículos e/ou pedestres.</w:t>
      </w:r>
    </w:p>
    <w:p>
      <w:pPr>
        <w:pStyle w:val="Normal"/>
        <w:rPr>
          <w:rFonts w:ascii="Arial" w:hAnsi="Arial"/>
          <w:sz w:val="24"/>
          <w:szCs w:val="24"/>
        </w:rPr>
      </w:pPr>
      <w:r>
        <w:rPr>
          <w:rFonts w:ascii="Arial" w:hAnsi="Arial"/>
          <w:b/>
          <w:sz w:val="24"/>
          <w:szCs w:val="24"/>
        </w:rPr>
        <w:t>VIGÊNCIA DO CONTRATO ADMINISTRATIVO</w:t>
      </w:r>
    </w:p>
    <w:p>
      <w:pPr>
        <w:pStyle w:val="Normal"/>
        <w:jc w:val="both"/>
        <w:rPr>
          <w:rFonts w:ascii="Arial" w:hAnsi="Arial"/>
          <w:sz w:val="24"/>
          <w:szCs w:val="24"/>
        </w:rPr>
      </w:pPr>
      <w:r>
        <w:rPr>
          <w:rFonts w:ascii="Arial" w:hAnsi="Arial"/>
          <w:sz w:val="24"/>
          <w:szCs w:val="24"/>
        </w:rPr>
        <w:t>O prazo de vigência do instrumento de contrato terá duração inicial de 12 (doze) meses e poderá ser prorrogado até o limite previsto no artigo 57, II da lei 8666.</w:t>
      </w:r>
    </w:p>
    <w:p>
      <w:pPr>
        <w:pStyle w:val="Normal"/>
        <w:jc w:val="both"/>
        <w:rPr>
          <w:rFonts w:ascii="Arial" w:hAnsi="Arial"/>
          <w:sz w:val="24"/>
          <w:szCs w:val="24"/>
        </w:rPr>
      </w:pPr>
      <w:r>
        <w:rPr>
          <w:rFonts w:ascii="Arial" w:hAnsi="Arial"/>
          <w:sz w:val="24"/>
          <w:szCs w:val="24"/>
        </w:rPr>
        <w:t>Sendo o contrato prorrogado até o período máximo permitido pelo artigo 57 da lei 8666/93, até 60 (sessenta) meses, todo o mobiliário instalado constantes nas planilhas do Anexo II, será revertido para o patrimônio do município.</w:t>
      </w:r>
    </w:p>
    <w:p>
      <w:pPr>
        <w:pStyle w:val="Normal"/>
        <w:jc w:val="both"/>
        <w:rPr>
          <w:rFonts w:ascii="Arial" w:hAnsi="Arial"/>
          <w:sz w:val="24"/>
          <w:szCs w:val="24"/>
        </w:rPr>
      </w:pPr>
      <w:r>
        <w:rPr>
          <w:rFonts w:ascii="Arial" w:hAnsi="Arial"/>
          <w:b/>
          <w:sz w:val="24"/>
          <w:szCs w:val="24"/>
        </w:rPr>
        <w:t>REAJUSTE DE PREÇOS</w:t>
      </w:r>
    </w:p>
    <w:p>
      <w:pPr>
        <w:pStyle w:val="Normal"/>
        <w:spacing w:lineRule="auto" w:line="240" w:before="0" w:after="0"/>
        <w:jc w:val="both"/>
        <w:rPr>
          <w:rFonts w:ascii="Arial" w:hAnsi="Arial"/>
          <w:sz w:val="24"/>
          <w:szCs w:val="24"/>
        </w:rPr>
      </w:pPr>
      <w:r>
        <w:rPr>
          <w:rFonts w:cs="Calibri" w:ascii="Arial" w:hAnsi="Arial" w:cstheme="minorHAnsi"/>
          <w:sz w:val="24"/>
          <w:szCs w:val="24"/>
        </w:rPr>
        <w:t>A licitante poderá apresentar a sua proposta comercial, conforme Anexo III – Modelo de Proposta Comercial. Nos termos do art. 40, inciso XI da Lei Federal nº 8.666/1993 c/c art. 3º, § 1º da Lei Federal 10.192, de 2001, a cada período de 12 (doze) meses contados da data de assinatura do contrato, a CONTRATADA terá direito ao reajuste do preço baseado no IGPM (Índice Geral de Preços de Mercado).</w:t>
      </w:r>
    </w:p>
    <w:p>
      <w:pPr>
        <w:pStyle w:val="Normal"/>
        <w:jc w:val="center"/>
        <w:rPr>
          <w:rFonts w:ascii="Arial" w:hAnsi="Arial"/>
          <w:b/>
          <w:b/>
          <w:sz w:val="24"/>
          <w:szCs w:val="24"/>
        </w:rPr>
      </w:pPr>
      <w:r>
        <w:rPr>
          <w:rFonts w:ascii="Arial" w:hAnsi="Arial"/>
          <w:b/>
          <w:sz w:val="24"/>
          <w:szCs w:val="24"/>
        </w:rPr>
      </w:r>
    </w:p>
    <w:p>
      <w:pPr>
        <w:pStyle w:val="Normal"/>
        <w:jc w:val="center"/>
        <w:rPr>
          <w:rFonts w:ascii="Arial" w:hAnsi="Arial"/>
          <w:sz w:val="24"/>
          <w:szCs w:val="24"/>
        </w:rPr>
      </w:pPr>
      <w:r>
        <w:rPr>
          <w:rFonts w:ascii="Arial" w:hAnsi="Arial"/>
          <w:b/>
          <w:sz w:val="24"/>
          <w:szCs w:val="24"/>
        </w:rPr>
        <w:t>ESPECIFICAÇÕES TÉCNICAS DE FUNCIONAMENTO DO SISTEMA SEMAFÓRICO</w:t>
      </w:r>
    </w:p>
    <w:p>
      <w:pPr>
        <w:pStyle w:val="Normal"/>
        <w:jc w:val="both"/>
        <w:rPr>
          <w:rFonts w:ascii="Arial" w:hAnsi="Arial"/>
          <w:sz w:val="24"/>
          <w:szCs w:val="24"/>
        </w:rPr>
      </w:pPr>
      <w:r>
        <w:rPr>
          <w:rFonts w:ascii="Arial" w:hAnsi="Arial"/>
          <w:sz w:val="24"/>
          <w:szCs w:val="24"/>
        </w:rPr>
        <w:t xml:space="preserve">O </w:t>
      </w:r>
      <w:r>
        <w:rPr>
          <w:rFonts w:ascii="Arial" w:hAnsi="Arial"/>
          <w:b/>
          <w:i/>
          <w:sz w:val="24"/>
          <w:szCs w:val="24"/>
        </w:rPr>
        <w:t>Sistema Semafórico</w:t>
      </w:r>
      <w:r>
        <w:rPr>
          <w:rFonts w:ascii="Arial" w:hAnsi="Arial"/>
          <w:sz w:val="24"/>
          <w:szCs w:val="24"/>
        </w:rPr>
        <w:t xml:space="preserve"> deverá permitir o acesso remoto aos controladores de tráfego através de uma Central de Tráfego. O modo de comunicação (GPRS/GPS), deverá possibilitar a </w:t>
      </w:r>
      <w:r>
        <w:rPr>
          <w:rFonts w:ascii="Arial" w:hAnsi="Arial"/>
          <w:b/>
          <w:i/>
          <w:sz w:val="24"/>
          <w:szCs w:val="24"/>
        </w:rPr>
        <w:t>Supervisão e o Controle</w:t>
      </w:r>
      <w:r>
        <w:rPr>
          <w:rFonts w:ascii="Arial" w:hAnsi="Arial"/>
          <w:sz w:val="24"/>
          <w:szCs w:val="24"/>
        </w:rPr>
        <w:t xml:space="preserve"> do funcionamento do semáforo em tempo real.</w:t>
      </w:r>
    </w:p>
    <w:p>
      <w:pPr>
        <w:pStyle w:val="Normal"/>
        <w:jc w:val="both"/>
        <w:rPr>
          <w:rFonts w:ascii="Arial" w:hAnsi="Arial"/>
          <w:sz w:val="24"/>
          <w:szCs w:val="24"/>
        </w:rPr>
      </w:pPr>
      <w:r>
        <w:rPr>
          <w:rFonts w:ascii="Arial" w:hAnsi="Arial"/>
          <w:b/>
          <w:sz w:val="24"/>
          <w:szCs w:val="24"/>
        </w:rPr>
        <w:t>Condições mínimas de funcionamento do Sistema Semafórico</w:t>
      </w:r>
    </w:p>
    <w:p>
      <w:pPr>
        <w:pStyle w:val="Normal"/>
        <w:jc w:val="both"/>
        <w:rPr>
          <w:rFonts w:ascii="Arial" w:hAnsi="Arial"/>
          <w:sz w:val="24"/>
          <w:szCs w:val="24"/>
        </w:rPr>
      </w:pPr>
      <w:r>
        <w:rPr>
          <w:rFonts w:ascii="Arial" w:hAnsi="Arial"/>
          <w:sz w:val="24"/>
          <w:szCs w:val="24"/>
        </w:rPr>
        <w:t>1 – Inserir e alterar Planos de Tráfego do Controlador e em toda uma rede de semáforos, através de uma Central de Tráfego, estando ou não interligados em uma rede física de comunicação de dados.</w:t>
      </w:r>
    </w:p>
    <w:p>
      <w:pPr>
        <w:pStyle w:val="Normal"/>
        <w:jc w:val="both"/>
        <w:rPr>
          <w:rFonts w:ascii="Arial" w:hAnsi="Arial"/>
          <w:sz w:val="24"/>
          <w:szCs w:val="24"/>
        </w:rPr>
      </w:pPr>
      <w:r>
        <w:rPr>
          <w:rFonts w:ascii="Arial" w:hAnsi="Arial"/>
          <w:sz w:val="24"/>
          <w:szCs w:val="24"/>
        </w:rPr>
        <w:t xml:space="preserve">2 – </w:t>
      </w:r>
      <w:r>
        <w:rPr>
          <w:rFonts w:ascii="Arial" w:hAnsi="Arial"/>
          <w:b/>
          <w:i/>
          <w:sz w:val="24"/>
          <w:szCs w:val="24"/>
        </w:rPr>
        <w:t>Supervisionar</w:t>
      </w:r>
      <w:r>
        <w:rPr>
          <w:rFonts w:ascii="Arial" w:hAnsi="Arial"/>
          <w:sz w:val="24"/>
          <w:szCs w:val="24"/>
        </w:rPr>
        <w:t xml:space="preserve"> o(s) semáforo(s) através de monitor de vídeo conectado a Web, em mapa de localização geográfica, </w:t>
      </w:r>
      <w:r>
        <w:rPr>
          <w:rFonts w:ascii="Arial" w:hAnsi="Arial"/>
          <w:i/>
          <w:sz w:val="24"/>
          <w:szCs w:val="24"/>
        </w:rPr>
        <w:t>tipo google.maps</w:t>
      </w:r>
      <w:r>
        <w:rPr>
          <w:rFonts w:ascii="Arial" w:hAnsi="Arial"/>
          <w:sz w:val="24"/>
          <w:szCs w:val="24"/>
        </w:rPr>
        <w:t xml:space="preserve">, informando o status de funcionamento da sinalização em tempo real. </w:t>
      </w:r>
    </w:p>
    <w:p>
      <w:pPr>
        <w:pStyle w:val="Normal"/>
        <w:jc w:val="both"/>
        <w:rPr>
          <w:rFonts w:ascii="Arial" w:hAnsi="Arial"/>
          <w:sz w:val="24"/>
          <w:szCs w:val="24"/>
        </w:rPr>
      </w:pPr>
      <w:r>
        <w:rPr>
          <w:rFonts w:ascii="Arial" w:hAnsi="Arial"/>
          <w:sz w:val="24"/>
          <w:szCs w:val="24"/>
        </w:rPr>
        <w:t xml:space="preserve">A </w:t>
      </w:r>
      <w:r>
        <w:rPr>
          <w:rFonts w:ascii="Arial" w:hAnsi="Arial"/>
          <w:b/>
          <w:i/>
          <w:sz w:val="24"/>
          <w:szCs w:val="24"/>
        </w:rPr>
        <w:t xml:space="preserve">Supervisão </w:t>
      </w:r>
      <w:r>
        <w:rPr>
          <w:rFonts w:ascii="Arial" w:hAnsi="Arial"/>
          <w:sz w:val="24"/>
          <w:szCs w:val="24"/>
        </w:rPr>
        <w:t xml:space="preserve">deverá informar e registrar em Banco de Dados as panes habituais da sinalização, tais como: semáforo desativado, flash, comunicação (GPRS/GPS), lâmpadas e/ou ledS com defeito, com informação de cor e fase correspondente, mesmo quando ocorrer apenas a queima de uma única lâmpada de cada fase. Deverá informar também quando a sinalização estiver funcionando corretamente.       </w:t>
      </w:r>
    </w:p>
    <w:p>
      <w:pPr>
        <w:pStyle w:val="Normal"/>
        <w:jc w:val="both"/>
        <w:rPr>
          <w:rFonts w:ascii="Arial" w:hAnsi="Arial"/>
          <w:sz w:val="24"/>
          <w:szCs w:val="24"/>
        </w:rPr>
      </w:pPr>
      <w:r>
        <w:rPr>
          <w:rFonts w:ascii="Arial" w:hAnsi="Arial"/>
          <w:sz w:val="24"/>
          <w:szCs w:val="24"/>
        </w:rPr>
        <w:t xml:space="preserve">3 – O </w:t>
      </w:r>
      <w:r>
        <w:rPr>
          <w:rFonts w:ascii="Arial" w:hAnsi="Arial"/>
          <w:b/>
          <w:i/>
          <w:sz w:val="24"/>
          <w:szCs w:val="24"/>
        </w:rPr>
        <w:t>Sistema Semafórico</w:t>
      </w:r>
      <w:r>
        <w:rPr>
          <w:rFonts w:ascii="Arial" w:hAnsi="Arial"/>
          <w:sz w:val="24"/>
          <w:szCs w:val="24"/>
        </w:rPr>
        <w:t xml:space="preserve"> deverá possuir Banco de Dados para o armazenamento das ocorrências e serviços realizados na sinalização desde o início da ativação do semáforo. </w:t>
      </w:r>
    </w:p>
    <w:p>
      <w:pPr>
        <w:pStyle w:val="Normal"/>
        <w:jc w:val="both"/>
        <w:rPr>
          <w:rFonts w:ascii="Arial" w:hAnsi="Arial"/>
          <w:sz w:val="24"/>
          <w:szCs w:val="24"/>
        </w:rPr>
      </w:pPr>
      <w:r>
        <w:rPr>
          <w:rFonts w:ascii="Arial" w:hAnsi="Arial"/>
          <w:sz w:val="24"/>
          <w:szCs w:val="24"/>
        </w:rPr>
        <w:t>Os dados armazenados deverão gerar relatórios de defeitos e de serviços executados, com registro de data e hora que ocorreu o evento na sinalização semafórica, de forma automática e em tempo real. Deverá também, permitir visualizar e imprimir consultas e relatórios em datas remotas, bastando para isso selecionar o período desejado.</w:t>
      </w:r>
    </w:p>
    <w:p>
      <w:pPr>
        <w:pStyle w:val="Normal"/>
        <w:jc w:val="both"/>
        <w:rPr>
          <w:rFonts w:ascii="Arial" w:hAnsi="Arial"/>
          <w:sz w:val="24"/>
          <w:szCs w:val="24"/>
        </w:rPr>
      </w:pPr>
      <w:r>
        <w:rPr>
          <w:rFonts w:ascii="Arial" w:hAnsi="Arial"/>
          <w:sz w:val="24"/>
          <w:szCs w:val="24"/>
        </w:rPr>
        <w:t>Os relatórios e as consultas deverão ser exibidos de forma a abranger todas as interseções semafóricas ou uma única interseção.</w:t>
      </w:r>
    </w:p>
    <w:p>
      <w:pPr>
        <w:pStyle w:val="Normal"/>
        <w:jc w:val="both"/>
        <w:rPr>
          <w:rFonts w:ascii="Arial" w:hAnsi="Arial"/>
          <w:sz w:val="24"/>
          <w:szCs w:val="24"/>
        </w:rPr>
      </w:pPr>
      <w:r>
        <w:rPr>
          <w:rFonts w:ascii="Arial" w:hAnsi="Arial"/>
          <w:sz w:val="24"/>
          <w:szCs w:val="24"/>
        </w:rPr>
        <w:t>Todos os relatórios serão exibidos de acordo com o período solicitado.</w:t>
      </w:r>
    </w:p>
    <w:p>
      <w:pPr>
        <w:pStyle w:val="Normal"/>
        <w:jc w:val="both"/>
        <w:rPr>
          <w:rFonts w:ascii="Arial" w:hAnsi="Arial"/>
          <w:sz w:val="24"/>
          <w:szCs w:val="24"/>
        </w:rPr>
      </w:pPr>
      <w:r>
        <w:rPr>
          <w:rFonts w:ascii="Arial" w:hAnsi="Arial"/>
          <w:sz w:val="24"/>
          <w:szCs w:val="24"/>
        </w:rPr>
        <w:t xml:space="preserve">4 – </w:t>
      </w:r>
      <w:r>
        <w:rPr>
          <w:rFonts w:ascii="Arial" w:hAnsi="Arial"/>
          <w:b/>
          <w:i/>
          <w:sz w:val="24"/>
          <w:szCs w:val="24"/>
        </w:rPr>
        <w:t xml:space="preserve">Comandar </w:t>
      </w:r>
      <w:r>
        <w:rPr>
          <w:rFonts w:ascii="Arial" w:hAnsi="Arial"/>
          <w:sz w:val="24"/>
          <w:szCs w:val="24"/>
        </w:rPr>
        <w:t>o controlador semafórico via Web para atuar em flash, quando solicitado pela Prefeitura, para atendimento em eventos especiais de festividades, obra, acidentes, dentre outros;</w:t>
      </w:r>
    </w:p>
    <w:p>
      <w:pPr>
        <w:pStyle w:val="Normal"/>
        <w:jc w:val="both"/>
        <w:rPr>
          <w:rFonts w:ascii="Arial" w:hAnsi="Arial"/>
          <w:sz w:val="24"/>
          <w:szCs w:val="24"/>
        </w:rPr>
      </w:pPr>
      <w:r>
        <w:rPr>
          <w:rFonts w:ascii="Arial" w:hAnsi="Arial"/>
          <w:sz w:val="24"/>
          <w:szCs w:val="24"/>
        </w:rPr>
        <w:t xml:space="preserve">5 – </w:t>
      </w:r>
      <w:r>
        <w:rPr>
          <w:rFonts w:ascii="Arial" w:hAnsi="Arial"/>
          <w:b/>
          <w:sz w:val="24"/>
          <w:szCs w:val="24"/>
        </w:rPr>
        <w:t>Comandar via Web</w:t>
      </w:r>
      <w:r>
        <w:rPr>
          <w:rFonts w:ascii="Arial" w:hAnsi="Arial"/>
          <w:sz w:val="24"/>
          <w:szCs w:val="24"/>
        </w:rPr>
        <w:t xml:space="preserve"> o reset no controlador para reparo imediato na sinalização;</w:t>
      </w:r>
    </w:p>
    <w:p>
      <w:pPr>
        <w:pStyle w:val="Normal"/>
        <w:jc w:val="both"/>
        <w:rPr>
          <w:rFonts w:ascii="Arial" w:hAnsi="Arial"/>
          <w:sz w:val="24"/>
          <w:szCs w:val="24"/>
        </w:rPr>
      </w:pPr>
      <w:r>
        <w:rPr>
          <w:rFonts w:ascii="Arial" w:hAnsi="Arial"/>
          <w:sz w:val="24"/>
          <w:szCs w:val="24"/>
        </w:rPr>
        <w:t xml:space="preserve">6 – Permitir a Prefeitura o acesso via web a Central de Tráfego da Contratada, para possibilitar a </w:t>
      </w:r>
      <w:r>
        <w:rPr>
          <w:rFonts w:ascii="Arial" w:hAnsi="Arial"/>
          <w:b/>
          <w:i/>
          <w:sz w:val="24"/>
          <w:szCs w:val="24"/>
        </w:rPr>
        <w:t xml:space="preserve">Supervisão </w:t>
      </w:r>
      <w:r>
        <w:rPr>
          <w:rFonts w:ascii="Arial" w:hAnsi="Arial"/>
          <w:sz w:val="24"/>
          <w:szCs w:val="24"/>
        </w:rPr>
        <w:t>do status de funcionamento do(s) semáforo(s), bem como o acesso aos relatórios disponíveis no sistema, para viabilizar melhores condições de gerenciamento do trânsito através  do acompanhamento do funcionamento do(s) semáforo(s) e dos serviços realizados durante a vigência do contrato.</w:t>
      </w:r>
    </w:p>
    <w:p>
      <w:pPr>
        <w:pStyle w:val="Normal"/>
        <w:jc w:val="both"/>
        <w:rPr>
          <w:rFonts w:ascii="Arial" w:hAnsi="Arial"/>
          <w:sz w:val="24"/>
          <w:szCs w:val="24"/>
        </w:rPr>
      </w:pPr>
      <w:r>
        <w:rPr>
          <w:rFonts w:ascii="Arial" w:hAnsi="Arial"/>
          <w:sz w:val="24"/>
          <w:szCs w:val="24"/>
        </w:rPr>
        <w:t>A Central de Tráfego é o único produto que não faz parte dos que estão sob o regime de comodato. A sua finalidade no contexto, é criar condições de interatividade com o controlador de tráfego, afim de que possa a Contratada, efetuar a manutenção da sinalização semafórica de forma remota, para promover segurança e fluidez no trânsito com maior eficiência.</w:t>
      </w:r>
    </w:p>
    <w:p>
      <w:pPr>
        <w:pStyle w:val="Normal"/>
        <w:jc w:val="both"/>
        <w:rPr>
          <w:rFonts w:ascii="Arial" w:hAnsi="Arial"/>
          <w:sz w:val="24"/>
          <w:szCs w:val="24"/>
        </w:rPr>
      </w:pPr>
      <w:r>
        <w:rPr>
          <w:rFonts w:ascii="Arial" w:hAnsi="Arial"/>
          <w:b/>
          <w:sz w:val="24"/>
          <w:szCs w:val="24"/>
        </w:rPr>
        <w:t>DAS AMOSTRAS</w:t>
      </w:r>
    </w:p>
    <w:p>
      <w:pPr>
        <w:pStyle w:val="Normal"/>
        <w:jc w:val="both"/>
        <w:rPr>
          <w:rFonts w:ascii="Arial" w:hAnsi="Arial"/>
          <w:sz w:val="24"/>
          <w:szCs w:val="24"/>
        </w:rPr>
      </w:pPr>
      <w:r>
        <w:rPr>
          <w:rFonts w:eastAsia="Arial" w:cs="Calibri" w:ascii="Arial" w:hAnsi="Arial" w:cstheme="minorHAnsi"/>
          <w:sz w:val="24"/>
          <w:szCs w:val="24"/>
        </w:rPr>
        <w:t xml:space="preserve">Após identificada a melhor proposta comercial e decorrido os prazos de recursos previstos em Lei, a empresa vencedora deverá apresentar em até 5 (cinco) dias úteis, uma amostra do Controlador de Tráfego de acordo com ANEXO VII, para os testes de funcionamento com a Central de Tráfego, em consonância com o ANEXO I – TERMO DE REFERÊNCIA. </w:t>
      </w:r>
    </w:p>
    <w:p>
      <w:pPr>
        <w:pStyle w:val="Normal"/>
        <w:jc w:val="both"/>
        <w:rPr>
          <w:rFonts w:ascii="Arial" w:hAnsi="Arial"/>
          <w:sz w:val="24"/>
          <w:szCs w:val="24"/>
        </w:rPr>
      </w:pPr>
      <w:r>
        <w:rPr>
          <w:rFonts w:eastAsia="Arial" w:cs="Calibri" w:ascii="Arial" w:hAnsi="Arial" w:cstheme="minorHAnsi"/>
          <w:sz w:val="24"/>
          <w:szCs w:val="24"/>
        </w:rPr>
        <w:t xml:space="preserve">Os testes de funcionalidades do </w:t>
      </w:r>
      <w:r>
        <w:rPr>
          <w:rFonts w:eastAsia="Arial" w:cs="Calibri" w:ascii="Arial" w:hAnsi="Arial" w:cstheme="minorHAnsi"/>
          <w:b/>
          <w:i/>
          <w:sz w:val="24"/>
          <w:szCs w:val="24"/>
        </w:rPr>
        <w:t>sistema semafórico</w:t>
      </w:r>
      <w:r>
        <w:rPr>
          <w:rFonts w:eastAsia="Arial" w:cs="Calibri" w:ascii="Arial" w:hAnsi="Arial" w:cstheme="minorHAnsi"/>
          <w:sz w:val="24"/>
          <w:szCs w:val="24"/>
        </w:rPr>
        <w:t xml:space="preserve"> deverão ser demonstrados por pessoa(s) responsável, devidamente credenciado pela empresa vencedora do certame.</w:t>
      </w:r>
    </w:p>
    <w:p>
      <w:pPr>
        <w:pStyle w:val="Normal"/>
        <w:jc w:val="both"/>
        <w:rPr>
          <w:rFonts w:ascii="Arial" w:hAnsi="Arial"/>
          <w:sz w:val="24"/>
          <w:szCs w:val="24"/>
        </w:rPr>
      </w:pPr>
      <w:r>
        <w:rPr>
          <w:rFonts w:eastAsia="Arial" w:cs="Calibri" w:ascii="Arial" w:hAnsi="Arial" w:cstheme="minorHAnsi"/>
          <w:sz w:val="24"/>
          <w:szCs w:val="24"/>
        </w:rPr>
        <w:t xml:space="preserve">Caso as exigências técnicas mínimas de funcionamento do sistema semafórico não forem atendidas pela empresa classificada em primeiro lugar, a Prefeitura convocará a segunda empresa colocada no certame, para a apresentação da amostra, e assim proceder sucessivamente, até que o </w:t>
      </w:r>
      <w:r>
        <w:rPr>
          <w:rFonts w:eastAsia="Arial" w:cs="Calibri" w:ascii="Arial" w:hAnsi="Arial" w:cstheme="minorHAnsi"/>
          <w:b/>
          <w:i/>
          <w:sz w:val="24"/>
          <w:szCs w:val="24"/>
        </w:rPr>
        <w:t xml:space="preserve">sistema semafórico </w:t>
      </w:r>
      <w:r>
        <w:rPr>
          <w:rFonts w:eastAsia="Arial" w:cs="Calibri" w:ascii="Arial" w:hAnsi="Arial" w:cstheme="minorHAnsi"/>
          <w:sz w:val="24"/>
          <w:szCs w:val="24"/>
        </w:rPr>
        <w:t>seja compatível com esse Termo de Referência.</w:t>
      </w:r>
    </w:p>
    <w:p>
      <w:pPr>
        <w:pStyle w:val="Normal"/>
        <w:spacing w:lineRule="auto" w:line="240" w:before="0" w:after="0"/>
        <w:jc w:val="both"/>
        <w:rPr>
          <w:rFonts w:ascii="Arial" w:hAnsi="Arial" w:cs="Calibri" w:cstheme="minorHAnsi"/>
          <w:sz w:val="24"/>
          <w:szCs w:val="24"/>
        </w:rPr>
      </w:pPr>
      <w:r>
        <w:rPr>
          <w:rFonts w:cs="Calibri" w:cstheme="minorHAnsi" w:ascii="Arial" w:hAnsi="Arial"/>
          <w:sz w:val="24"/>
          <w:szCs w:val="24"/>
        </w:rPr>
      </w:r>
    </w:p>
    <w:p>
      <w:pPr>
        <w:pStyle w:val="Normal"/>
        <w:jc w:val="center"/>
        <w:rPr>
          <w:rFonts w:ascii="Arial" w:hAnsi="Arial"/>
          <w:sz w:val="24"/>
          <w:szCs w:val="24"/>
        </w:rPr>
      </w:pPr>
      <w:r>
        <w:rPr>
          <w:rFonts w:ascii="Arial" w:hAnsi="Arial"/>
          <w:b/>
          <w:sz w:val="24"/>
          <w:szCs w:val="24"/>
        </w:rPr>
        <w:t>CAPACITAÇÃO E IDEONEIDADE TÉCNICA</w:t>
      </w:r>
    </w:p>
    <w:p>
      <w:pPr>
        <w:pStyle w:val="Normal"/>
        <w:spacing w:beforeAutospacing="1" w:afterAutospacing="1"/>
        <w:jc w:val="both"/>
        <w:rPr>
          <w:rFonts w:ascii="Arial" w:hAnsi="Arial"/>
          <w:sz w:val="24"/>
          <w:szCs w:val="24"/>
        </w:rPr>
      </w:pPr>
      <w:r>
        <w:rPr>
          <w:rFonts w:eastAsia="Times New Roman" w:cs="Calibri" w:ascii="Arial" w:hAnsi="Arial" w:cstheme="minorHAnsi"/>
          <w:color w:val="000000"/>
          <w:sz w:val="24"/>
          <w:szCs w:val="24"/>
          <w:lang w:eastAsia="pt-BR"/>
        </w:rPr>
        <w:t>Apresentação de Atestado de Capacidade Técnica emitida em nome da Licitante, expedido por pessoa jurídica de direito público ou privado e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 relativos aos serviços de manutenção e implantação de sinalização semafórica, bem como operar e programar Central de Tráfego. Deverá também atestar conhecimento na manutenção corretiva de equipamentos eletrônicos dos controladores de tráfego e reunir condições técnicas de realização de Pesquisa Volumétrica de Veículos e elaboração de programação semafórica.</w:t>
      </w:r>
    </w:p>
    <w:p>
      <w:pPr>
        <w:pStyle w:val="Normal"/>
        <w:jc w:val="both"/>
        <w:rPr>
          <w:rFonts w:ascii="Arial" w:hAnsi="Arial"/>
          <w:sz w:val="24"/>
          <w:szCs w:val="24"/>
        </w:rPr>
      </w:pPr>
      <w:r>
        <w:rPr>
          <w:rFonts w:ascii="Arial" w:hAnsi="Arial"/>
          <w:sz w:val="24"/>
          <w:szCs w:val="24"/>
        </w:rPr>
        <w:t>Os atestados deverão ser apresentados juntamente com a certidão de acervo técnico – CAT (acompanhado das respectivas anotações de responsabilidade técnica – ART ou Termo de responsabilidade Técnica – TRT), que faça menção ao próprio licitante como prestador de serviço.</w:t>
      </w:r>
    </w:p>
    <w:p>
      <w:pPr>
        <w:pStyle w:val="Normal"/>
        <w:jc w:val="both"/>
        <w:rPr>
          <w:rFonts w:ascii="Arial" w:hAnsi="Arial"/>
          <w:sz w:val="24"/>
          <w:szCs w:val="24"/>
        </w:rPr>
      </w:pPr>
      <w:r>
        <w:rPr>
          <w:rFonts w:ascii="Arial" w:hAnsi="Arial"/>
          <w:sz w:val="24"/>
          <w:szCs w:val="24"/>
        </w:rPr>
        <w:t xml:space="preserve">A licitante deverá comprovar o vínculo do profissional Responsável Técnico com a empresa.  Esta comprovação poderá ser feita através de cópia de Ficha de Registro do empregado, da CTPS, ou de Contrato de Prestação de Serviços ou outro documento equivalente. </w:t>
      </w:r>
    </w:p>
    <w:p>
      <w:pPr>
        <w:pStyle w:val="Normal"/>
        <w:jc w:val="both"/>
        <w:rPr>
          <w:rFonts w:ascii="Arial" w:hAnsi="Arial"/>
          <w:sz w:val="24"/>
          <w:szCs w:val="24"/>
        </w:rPr>
      </w:pPr>
      <w:r>
        <w:rPr>
          <w:rFonts w:ascii="Arial" w:hAnsi="Arial"/>
          <w:sz w:val="24"/>
          <w:szCs w:val="24"/>
        </w:rPr>
        <w:t>A licitante deverá apresentar Certidão de Registro e quitação junto à entidade profissional competente a qual encontra-se registrada.</w:t>
      </w:r>
    </w:p>
    <w:p>
      <w:pPr>
        <w:pStyle w:val="Normal"/>
        <w:jc w:val="both"/>
        <w:rPr>
          <w:rFonts w:ascii="Arial" w:hAnsi="Arial"/>
          <w:sz w:val="24"/>
          <w:szCs w:val="24"/>
        </w:rPr>
      </w:pPr>
      <w:r>
        <w:rPr>
          <w:rFonts w:ascii="Arial" w:hAnsi="Arial"/>
          <w:sz w:val="24"/>
          <w:szCs w:val="24"/>
        </w:rPr>
        <w:t>A licitante deverá apresentar Certidão de Registro e Quitação junto à entidade profissional competente do responsável técnico.</w:t>
      </w:r>
    </w:p>
    <w:p>
      <w:pPr>
        <w:pStyle w:val="Normal"/>
        <w:jc w:val="both"/>
        <w:rPr>
          <w:rFonts w:ascii="Arial" w:hAnsi="Arial"/>
          <w:b/>
          <w:b/>
          <w:sz w:val="24"/>
          <w:szCs w:val="24"/>
        </w:rPr>
      </w:pPr>
      <w:r>
        <w:rPr>
          <w:rFonts w:ascii="Arial" w:hAnsi="Arial"/>
          <w:b/>
          <w:sz w:val="24"/>
          <w:szCs w:val="24"/>
        </w:rPr>
      </w:r>
    </w:p>
    <w:p>
      <w:pPr>
        <w:pStyle w:val="Normal"/>
        <w:spacing w:before="0" w:after="200"/>
        <w:jc w:val="both"/>
        <w:rPr>
          <w:rFonts w:ascii="Arial" w:hAnsi="Arial"/>
          <w:sz w:val="24"/>
          <w:szCs w:val="24"/>
        </w:rPr>
      </w:pPr>
      <w:r>
        <w:rPr>
          <w:rFonts w:ascii="Arial" w:hAnsi="Arial"/>
          <w:sz w:val="24"/>
          <w:szCs w:val="24"/>
        </w:rPr>
      </w:r>
    </w:p>
    <w:sectPr>
      <w:headerReference w:type="default" r:id="rId2"/>
      <w:footerReference w:type="default" r:id="rId3"/>
      <w:type w:val="nextPage"/>
      <w:pgSz w:w="11906" w:h="16838"/>
      <w:pgMar w:left="1395" w:right="1151" w:header="405" w:top="2220" w:footer="368" w:bottom="161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1"/>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0" w:color="000000"/>
      </w:pBdr>
      <w:ind w:left="0" w:right="360" w:hanging="0"/>
      <w:rPr/>
    </w:pPr>
    <w:r>
      <w:rPr/>
    </w:r>
  </w:p>
  <w:p>
    <w:pPr>
      <w:pStyle w:val="Rodap"/>
      <w:spacing w:before="0" w:after="200"/>
      <w:jc w:val="center"/>
      <w:rPr>
        <w:sz w:val="22"/>
      </w:rPr>
    </w:pPr>
    <w:r>
      <w:rPr>
        <w:sz w:val="22"/>
      </w:rPr>
      <w:t>Rua Dr. Mario Inácio Carneiro</w:t>
    </w:r>
    <w:r>
      <w:rPr>
        <w:sz w:val="22"/>
      </w:rPr>
      <w:t xml:space="preserve">, n. </w:t>
    </w:r>
    <w:r>
      <w:rPr>
        <w:sz w:val="22"/>
      </w:rPr>
      <w:t>305</w:t>
    </w:r>
    <w:r>
      <w:rPr>
        <w:sz w:val="22"/>
      </w:rPr>
      <w:t>, Centro, Tel. (32) 3696-3338, CEP 36.880.000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
      <w:spacing w:lineRule="auto" w:line="240" w:before="0" w:after="0"/>
      <w:outlineLvl w:val="0"/>
      <w:rPr/>
    </w:pPr>
    <w:r>
      <w:drawing>
        <wp:anchor behindDoc="0" distT="0" distB="0" distL="0" distR="0" simplePos="0" locked="0" layoutInCell="1" allowOverlap="1" relativeHeight="2">
          <wp:simplePos x="0" y="0"/>
          <wp:positionH relativeFrom="column">
            <wp:posOffset>-154940</wp:posOffset>
          </wp:positionH>
          <wp:positionV relativeFrom="paragraph">
            <wp:posOffset>-92075</wp:posOffset>
          </wp:positionV>
          <wp:extent cx="1007745" cy="1028065"/>
          <wp:effectExtent l="0" t="0" r="0" b="0"/>
          <wp:wrapSquare wrapText="largest"/>
          <wp:docPr id="1" name="Objeto2" descr="Objeto 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to2" descr="Objeto OLE"/>
                  <pic:cNvPicPr>
                    <a:picLocks noChangeAspect="1" noChangeArrowheads="1"/>
                  </pic:cNvPicPr>
                </pic:nvPicPr>
                <pic:blipFill>
                  <a:blip r:embed="rId1"/>
                  <a:stretch>
                    <a:fillRect/>
                  </a:stretch>
                </pic:blipFill>
                <pic:spPr bwMode="auto">
                  <a:xfrm>
                    <a:off x="0" y="0"/>
                    <a:ext cx="1007745" cy="1028065"/>
                  </a:xfrm>
                  <a:prstGeom prst="rect">
                    <a:avLst/>
                  </a:prstGeom>
                </pic:spPr>
              </pic:pic>
            </a:graphicData>
          </a:graphic>
        </wp:anchor>
      </w:drawing>
    </w:r>
    <w:r>
      <w:rPr>
        <w:rStyle w:val="Fontepargpadro"/>
        <w:b/>
        <w:bCs/>
        <w:i/>
        <w:color w:val="000000"/>
        <w:szCs w:val="36"/>
      </w:rPr>
      <w:t xml:space="preserve">                 </w:t>
    </w:r>
    <w:r>
      <w:rPr>
        <w:rStyle w:val="Fontepargpadro"/>
        <w:b/>
        <w:bCs/>
        <w:i/>
        <w:color w:val="000000"/>
        <w:szCs w:val="36"/>
      </w:rPr>
      <w:t>Prefeitura Municipal de Muriaé</w:t>
    </w:r>
  </w:p>
  <w:p>
    <w:pPr>
      <w:pStyle w:val="Ttulo2"/>
      <w:spacing w:lineRule="auto" w:line="240" w:before="0" w:after="0"/>
      <w:outlineLvl w:val="1"/>
      <w:rPr>
        <w:rFonts w:ascii="Cambria" w:hAnsi="Cambria"/>
        <w:iCs/>
        <w:szCs w:val="28"/>
      </w:rPr>
    </w:pPr>
    <w:r>
      <w:rPr>
        <w:rFonts w:ascii="Cambria" w:hAnsi="Cambria"/>
        <w:iCs/>
        <w:szCs w:val="28"/>
      </w:rPr>
      <w:t xml:space="preserve">                              </w:t>
    </w:r>
    <w:r>
      <w:rPr>
        <w:rFonts w:ascii="Cambria" w:hAnsi="Cambria"/>
        <w:iCs/>
        <w:szCs w:val="28"/>
      </w:rPr>
      <w:t>Departamento Municipal de Transporte e Trânsito</w:t>
    </w:r>
  </w:p>
  <w:p>
    <w:pPr>
      <w:pStyle w:val="Normal"/>
      <w:spacing w:lineRule="auto" w:line="240" w:before="0" w:after="0"/>
      <w:jc w:val="center"/>
      <w:rPr>
        <w:rFonts w:ascii="Cambria" w:hAnsi="Cambria"/>
        <w:b/>
        <w:b/>
        <w:iCs/>
      </w:rPr>
    </w:pPr>
    <w:r>
      <w:rPr>
        <w:rFonts w:ascii="Cambria" w:hAnsi="Cambria"/>
        <w:b/>
        <w:iCs/>
      </w:rPr>
      <w:t xml:space="preserve">                            </w:t>
    </w:r>
    <w:r>
      <w:rPr>
        <w:rFonts w:ascii="Cambria" w:hAnsi="Cambria"/>
        <w:b/>
        <w:iCs/>
      </w:rPr>
      <w:t>DEMUTTRAN</w:t>
    </w:r>
  </w:p>
  <w:p>
    <w:pPr>
      <w:pStyle w:val="Normal"/>
      <w:jc w:val="center"/>
      <w:rPr>
        <w:rFonts w:ascii="Cambria" w:hAnsi="Cambria"/>
        <w:b/>
        <w:b/>
        <w:iCs/>
      </w:rPr>
    </w:pPr>
    <w:r>
      <w:rPr>
        <w:rFonts w:ascii="Cambria" w:hAnsi="Cambria"/>
        <w:b/>
        <w:iCs/>
      </w:rPr>
      <w:t>________________________________________________________________________________________________________</w:t>
    </w:r>
  </w:p>
  <w:p>
    <w:pPr>
      <w:pStyle w:val="Cabealho"/>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0640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qFormat/>
    <w:pPr>
      <w:keepNext w:val="true"/>
      <w:numPr>
        <w:ilvl w:val="0"/>
        <w:numId w:val="1"/>
      </w:numPr>
      <w:suppressAutoHyphens w:val="false"/>
      <w:jc w:val="center"/>
      <w:outlineLvl w:val="0"/>
    </w:pPr>
    <w:rPr>
      <w:rFonts w:ascii="Times New Roman" w:hAnsi="Times New Roman"/>
      <w:sz w:val="36"/>
      <w:szCs w:val="24"/>
      <w:lang w:eastAsia="pt-BR"/>
    </w:rPr>
  </w:style>
  <w:style w:type="paragraph" w:styleId="Ttulo2">
    <w:name w:val="Heading 2"/>
    <w:basedOn w:val="Normal"/>
    <w:next w:val="Normal"/>
    <w:qFormat/>
    <w:pPr>
      <w:keepNext w:val="true"/>
      <w:numPr>
        <w:ilvl w:val="1"/>
        <w:numId w:val="1"/>
      </w:numPr>
      <w:suppressAutoHyphens w:val="false"/>
      <w:jc w:val="center"/>
      <w:outlineLvl w:val="1"/>
    </w:pPr>
    <w:rPr>
      <w:rFonts w:ascii="Times New Roman" w:hAnsi="Times New Roman"/>
      <w:b/>
      <w:bCs/>
      <w:sz w:val="28"/>
      <w:szCs w:val="24"/>
      <w:lang w:eastAsia="pt-BR"/>
    </w:rPr>
  </w:style>
  <w:style w:type="character" w:styleId="DefaultParagraphFont" w:default="1">
    <w:name w:val="Default Paragraph Font"/>
    <w:uiPriority w:val="1"/>
    <w:semiHidden/>
    <w:unhideWhenUsed/>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313212"/>
    <w:pPr>
      <w:spacing w:before="0" w:after="200"/>
      <w:ind w:left="720" w:hanging="0"/>
      <w:contextualSpacing/>
    </w:pPr>
    <w:rPr/>
  </w:style>
  <w:style w:type="paragraph" w:styleId="CabealhoeRodap">
    <w:name w:val="Cabeçalho e Rodapé"/>
    <w:basedOn w:val="Normal"/>
    <w:qFormat/>
    <w:pPr>
      <w:suppressLineNumbers/>
      <w:tabs>
        <w:tab w:val="clear" w:pos="708"/>
        <w:tab w:val="center" w:pos="4252" w:leader="none"/>
        <w:tab w:val="right" w:pos="8504" w:leader="none"/>
      </w:tabs>
    </w:pPr>
    <w:rPr/>
  </w:style>
  <w:style w:type="paragraph" w:styleId="Cabealho">
    <w:name w:val="Header"/>
    <w:basedOn w:val="CabealhoeRodap"/>
    <w:pPr>
      <w:suppressLineNumbers/>
    </w:pPr>
    <w:rPr/>
  </w:style>
  <w:style w:type="paragraph" w:styleId="Rodap">
    <w:name w:val="Footer"/>
    <w:basedOn w:val="CabealhoeRodap"/>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8406</TotalTime>
  <Application>LibreOffice/6.4.7.2$Windows_X86_64 LibreOffice_project/639b8ac485750d5696d7590a72ef1b496725cfb5</Application>
  <Pages>6</Pages>
  <Words>1849</Words>
  <Characters>10330</Characters>
  <CharactersWithSpaces>12195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2020-11-03T19:43:00Z</dcterms:created>
  <dc:creator/>
  <dc:description/>
  <dc:language>pt-BR</dc:language>
  <cp:lastModifiedBy/>
  <dcterms:modified xsi:type="dcterms:W3CDTF">2023-05-09T10:07:02Z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