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C1" w:rsidRPr="00755EC5" w:rsidRDefault="000D20C1" w:rsidP="000D20C1">
      <w:pPr>
        <w:rPr>
          <w:rFonts w:ascii="Arial" w:hAnsi="Arial" w:cs="Arial"/>
          <w:b/>
          <w:sz w:val="22"/>
          <w:szCs w:val="22"/>
          <w:u w:val="single"/>
        </w:rPr>
      </w:pPr>
    </w:p>
    <w:p w:rsidR="000D20C1" w:rsidRPr="007B13C9" w:rsidRDefault="000D20C1" w:rsidP="000D20C1">
      <w:pPr>
        <w:jc w:val="center"/>
        <w:rPr>
          <w:rFonts w:ascii="Arial" w:hAnsi="Arial" w:cs="Arial"/>
          <w:b/>
          <w:sz w:val="22"/>
          <w:szCs w:val="22"/>
          <w:u w:val="single"/>
        </w:rPr>
      </w:pPr>
      <w:r w:rsidRPr="007B13C9">
        <w:rPr>
          <w:rFonts w:ascii="Arial" w:hAnsi="Arial" w:cs="Arial"/>
          <w:b/>
          <w:sz w:val="22"/>
          <w:szCs w:val="22"/>
          <w:u w:val="single"/>
        </w:rPr>
        <w:t>COTAÇÃO</w:t>
      </w:r>
      <w:r w:rsidR="00391341" w:rsidRPr="007B13C9">
        <w:rPr>
          <w:rFonts w:ascii="Arial" w:hAnsi="Arial" w:cs="Arial"/>
          <w:b/>
          <w:sz w:val="22"/>
          <w:szCs w:val="22"/>
          <w:u w:val="single"/>
        </w:rPr>
        <w:t xml:space="preserve"> DE PREÇOS</w:t>
      </w:r>
      <w:r w:rsidRPr="007B13C9">
        <w:rPr>
          <w:rFonts w:ascii="Arial" w:hAnsi="Arial" w:cs="Arial"/>
          <w:b/>
          <w:sz w:val="22"/>
          <w:szCs w:val="22"/>
          <w:u w:val="single"/>
        </w:rPr>
        <w:t xml:space="preserve"> </w:t>
      </w:r>
    </w:p>
    <w:p w:rsidR="000D20C1" w:rsidRPr="007B13C9" w:rsidRDefault="000D20C1" w:rsidP="000D20C1">
      <w:pPr>
        <w:rPr>
          <w:rFonts w:ascii="Arial" w:hAnsi="Arial" w:cs="Arial"/>
          <w:b/>
          <w:sz w:val="22"/>
          <w:szCs w:val="22"/>
          <w:u w:val="single"/>
        </w:rPr>
      </w:pPr>
    </w:p>
    <w:p w:rsidR="00391341" w:rsidRPr="007B13C9" w:rsidRDefault="00391341" w:rsidP="000D20C1">
      <w:pPr>
        <w:rPr>
          <w:rFonts w:ascii="Arial" w:hAnsi="Arial" w:cs="Arial"/>
          <w:b/>
          <w:sz w:val="22"/>
          <w:szCs w:val="22"/>
          <w:u w:val="single"/>
        </w:rPr>
      </w:pPr>
    </w:p>
    <w:p w:rsidR="00391341" w:rsidRPr="007B13C9" w:rsidRDefault="00391341" w:rsidP="00391341">
      <w:pPr>
        <w:jc w:val="both"/>
        <w:rPr>
          <w:rFonts w:ascii="Arial" w:hAnsi="Arial" w:cs="Arial"/>
          <w:sz w:val="22"/>
          <w:szCs w:val="22"/>
        </w:rPr>
      </w:pPr>
      <w:r w:rsidRPr="007B13C9">
        <w:rPr>
          <w:rFonts w:ascii="Arial" w:hAnsi="Arial" w:cs="Arial"/>
          <w:sz w:val="22"/>
          <w:szCs w:val="22"/>
        </w:rPr>
        <w:t xml:space="preserve">A PREFEITURA MUNICIPAL DE MURIAÉ TORNA PÚBLICO A NECESSIDADE DE COTAÇÃO DE PREÇOS. OBJETO:  Prestar serviços de manutenção mensal e suporte técnico especializado sobre os sistemas informatizados e integrados de gestão pública municipal, incluindo transição do sistema já utilizado por esta municipalidade. OS INTERESSADOS DEVERÃO MANIFESTAR-SE APRESENTANDO PROPOSTA COM VALOR UNITÁRIO POR SERVIÇO, CONFORME TABELA A SEGUIR, PARA O ENDEREÇO </w:t>
      </w:r>
      <w:hyperlink r:id="rId6" w:history="1">
        <w:r w:rsidR="00820FB3" w:rsidRPr="007B13C9">
          <w:rPr>
            <w:rStyle w:val="Hyperlink"/>
            <w:rFonts w:ascii="Arial" w:hAnsi="Arial" w:cs="Arial"/>
            <w:sz w:val="22"/>
            <w:szCs w:val="22"/>
          </w:rPr>
          <w:t>PROTOCOLOLICITACAO@MURIAE.MG.GOV.BR</w:t>
        </w:r>
      </w:hyperlink>
      <w:proofErr w:type="gramStart"/>
      <w:r w:rsidR="00820FB3" w:rsidRPr="007B13C9">
        <w:rPr>
          <w:rFonts w:ascii="Arial" w:hAnsi="Arial" w:cs="Arial"/>
          <w:sz w:val="22"/>
          <w:szCs w:val="22"/>
        </w:rPr>
        <w:t xml:space="preserve">  </w:t>
      </w:r>
      <w:proofErr w:type="gramEnd"/>
      <w:r w:rsidRPr="007B13C9">
        <w:rPr>
          <w:rFonts w:ascii="Arial" w:hAnsi="Arial" w:cs="Arial"/>
          <w:sz w:val="22"/>
          <w:szCs w:val="22"/>
        </w:rPr>
        <w:t xml:space="preserve">NO PERÍODO DE </w:t>
      </w:r>
      <w:r w:rsidR="00820FB3" w:rsidRPr="007B13C9">
        <w:rPr>
          <w:rFonts w:ascii="Arial" w:hAnsi="Arial" w:cs="Arial"/>
          <w:sz w:val="22"/>
          <w:szCs w:val="22"/>
        </w:rPr>
        <w:t xml:space="preserve">ATÉ </w:t>
      </w:r>
      <w:r w:rsidRPr="007B13C9">
        <w:rPr>
          <w:rFonts w:ascii="Arial" w:hAnsi="Arial" w:cs="Arial"/>
          <w:sz w:val="22"/>
          <w:szCs w:val="22"/>
        </w:rPr>
        <w:t>0</w:t>
      </w:r>
      <w:r w:rsidR="00820FB3" w:rsidRPr="007B13C9">
        <w:rPr>
          <w:rFonts w:ascii="Arial" w:hAnsi="Arial" w:cs="Arial"/>
          <w:sz w:val="22"/>
          <w:szCs w:val="22"/>
        </w:rPr>
        <w:t>5</w:t>
      </w:r>
      <w:r w:rsidRPr="007B13C9">
        <w:rPr>
          <w:rFonts w:ascii="Arial" w:hAnsi="Arial" w:cs="Arial"/>
          <w:sz w:val="22"/>
          <w:szCs w:val="22"/>
        </w:rPr>
        <w:t xml:space="preserve"> (</w:t>
      </w:r>
      <w:r w:rsidR="00820FB3" w:rsidRPr="007B13C9">
        <w:rPr>
          <w:rFonts w:ascii="Arial" w:hAnsi="Arial" w:cs="Arial"/>
          <w:sz w:val="22"/>
          <w:szCs w:val="22"/>
        </w:rPr>
        <w:t>CINCO</w:t>
      </w:r>
      <w:r w:rsidRPr="007B13C9">
        <w:rPr>
          <w:rFonts w:ascii="Arial" w:hAnsi="Arial" w:cs="Arial"/>
          <w:sz w:val="22"/>
          <w:szCs w:val="22"/>
        </w:rPr>
        <w:t>) DIAS ÚTEIS A PARTIR DA DATA DESTA PUBLICAÇÃO. MAIS INFORMAÇÕES PODERÃO SER OBTIDAS NO DEMUTTRAN PELO TELEFONE (32) 3696-3317</w:t>
      </w:r>
    </w:p>
    <w:p w:rsidR="00391341" w:rsidRPr="007B13C9" w:rsidRDefault="00391341" w:rsidP="000D20C1">
      <w:pPr>
        <w:rPr>
          <w:rFonts w:ascii="Arial" w:hAnsi="Arial" w:cs="Arial"/>
          <w:b/>
          <w:sz w:val="22"/>
          <w:szCs w:val="22"/>
          <w:u w:val="single"/>
        </w:rPr>
      </w:pPr>
    </w:p>
    <w:p w:rsidR="00391341" w:rsidRPr="007B13C9" w:rsidRDefault="00391341" w:rsidP="000D20C1">
      <w:pPr>
        <w:rPr>
          <w:rFonts w:ascii="Arial" w:hAnsi="Arial" w:cs="Arial"/>
          <w:b/>
          <w:sz w:val="22"/>
          <w:szCs w:val="22"/>
          <w:u w:val="single"/>
        </w:rPr>
      </w:pPr>
    </w:p>
    <w:p w:rsidR="00391341" w:rsidRPr="007B13C9" w:rsidRDefault="00391341" w:rsidP="00391341">
      <w:pPr>
        <w:jc w:val="both"/>
        <w:rPr>
          <w:rFonts w:ascii="Arial" w:hAnsi="Arial" w:cs="Arial"/>
          <w:sz w:val="22"/>
          <w:szCs w:val="22"/>
        </w:rPr>
      </w:pPr>
      <w:r w:rsidRPr="007B13C9">
        <w:rPr>
          <w:rFonts w:ascii="Arial" w:hAnsi="Arial" w:cs="Arial"/>
          <w:sz w:val="22"/>
          <w:szCs w:val="22"/>
        </w:rPr>
        <w:t xml:space="preserve">Para atender as exigências legais, o Município de </w:t>
      </w:r>
      <w:proofErr w:type="spellStart"/>
      <w:r w:rsidRPr="007B13C9">
        <w:rPr>
          <w:rFonts w:ascii="Arial" w:hAnsi="Arial" w:cs="Arial"/>
          <w:sz w:val="22"/>
          <w:szCs w:val="22"/>
        </w:rPr>
        <w:t>Muriaé</w:t>
      </w:r>
      <w:proofErr w:type="spellEnd"/>
      <w:r w:rsidRPr="007B13C9">
        <w:rPr>
          <w:rFonts w:ascii="Arial" w:hAnsi="Arial" w:cs="Arial"/>
          <w:sz w:val="22"/>
          <w:szCs w:val="22"/>
        </w:rPr>
        <w:t xml:space="preserve">/MG pretende licitar os serviços abaixo relacionados. Solicitamos que sua empresa preencha o quadro </w:t>
      </w:r>
      <w:r w:rsidR="00755EC5" w:rsidRPr="007B13C9">
        <w:rPr>
          <w:rFonts w:ascii="Arial" w:hAnsi="Arial" w:cs="Arial"/>
          <w:sz w:val="22"/>
          <w:szCs w:val="22"/>
        </w:rPr>
        <w:t>abaixo</w:t>
      </w:r>
      <w:r w:rsidRPr="007B13C9">
        <w:rPr>
          <w:rFonts w:ascii="Arial" w:hAnsi="Arial" w:cs="Arial"/>
          <w:sz w:val="22"/>
          <w:szCs w:val="22"/>
        </w:rPr>
        <w:t xml:space="preserve"> com os dados da empresa proponente e apresente a sua cotação preenchendo o quadro abaixo com o preço de cada serviço e sistema informatizado solicitado.</w:t>
      </w:r>
    </w:p>
    <w:p w:rsidR="00391341" w:rsidRPr="007B13C9" w:rsidRDefault="00391341" w:rsidP="00391341">
      <w:pPr>
        <w:jc w:val="both"/>
        <w:rPr>
          <w:rFonts w:ascii="Arial" w:hAnsi="Arial" w:cs="Arial"/>
          <w:sz w:val="22"/>
          <w:szCs w:val="22"/>
        </w:rPr>
      </w:pPr>
      <w:r w:rsidRPr="007B13C9">
        <w:rPr>
          <w:rFonts w:ascii="Arial" w:hAnsi="Arial" w:cs="Arial"/>
          <w:sz w:val="22"/>
          <w:szCs w:val="22"/>
        </w:rPr>
        <w:t xml:space="preserve"> </w:t>
      </w:r>
    </w:p>
    <w:p w:rsidR="00391341" w:rsidRPr="007B13C9" w:rsidRDefault="00391341" w:rsidP="00391341">
      <w:pPr>
        <w:jc w:val="both"/>
        <w:rPr>
          <w:rFonts w:ascii="Arial" w:hAnsi="Arial" w:cs="Arial"/>
          <w:sz w:val="22"/>
          <w:szCs w:val="22"/>
        </w:rPr>
      </w:pPr>
      <w:r w:rsidRPr="007B13C9">
        <w:rPr>
          <w:rFonts w:ascii="Arial" w:hAnsi="Arial" w:cs="Arial"/>
          <w:sz w:val="22"/>
          <w:szCs w:val="22"/>
        </w:rPr>
        <w:t>A cotação deverá considerar os sistemas/módulos e serviços que, conforme é do conhecimento do mercado, esta empresa disponibiliza e comercializa para prestar serviços e informatizar órgãos públicos, como desenvolvedora e/ou como representante de alguma desenvolvedora.</w:t>
      </w:r>
    </w:p>
    <w:p w:rsidR="00391341" w:rsidRPr="007B13C9" w:rsidRDefault="00391341" w:rsidP="000D20C1">
      <w:pPr>
        <w:rPr>
          <w:rFonts w:ascii="Arial" w:hAnsi="Arial" w:cs="Arial"/>
          <w:b/>
          <w:sz w:val="22"/>
          <w:szCs w:val="22"/>
          <w:u w:val="single"/>
        </w:rPr>
      </w:pPr>
    </w:p>
    <w:p w:rsidR="00391341" w:rsidRPr="007B13C9" w:rsidRDefault="00391341" w:rsidP="000D20C1">
      <w:pPr>
        <w:rPr>
          <w:rFonts w:ascii="Arial" w:hAnsi="Arial" w:cs="Arial"/>
          <w:b/>
          <w:sz w:val="22"/>
          <w:szCs w:val="22"/>
          <w:u w:val="single"/>
        </w:rPr>
      </w:pPr>
    </w:p>
    <w:p w:rsidR="00391341" w:rsidRPr="007B13C9" w:rsidRDefault="00391341" w:rsidP="00391341">
      <w:pPr>
        <w:jc w:val="center"/>
        <w:rPr>
          <w:rFonts w:ascii="Arial" w:hAnsi="Arial" w:cs="Arial"/>
          <w:b/>
          <w:sz w:val="22"/>
          <w:szCs w:val="22"/>
          <w:u w:val="single"/>
        </w:rPr>
      </w:pPr>
      <w:r w:rsidRPr="007B13C9">
        <w:rPr>
          <w:rFonts w:ascii="Arial" w:hAnsi="Arial" w:cs="Arial"/>
          <w:b/>
          <w:sz w:val="22"/>
          <w:szCs w:val="22"/>
          <w:u w:val="single"/>
        </w:rPr>
        <w:t>MODELO:</w:t>
      </w:r>
    </w:p>
    <w:p w:rsidR="00391341" w:rsidRPr="007B13C9" w:rsidRDefault="00391341" w:rsidP="00391341">
      <w:pPr>
        <w:jc w:val="center"/>
        <w:rPr>
          <w:rFonts w:ascii="Arial" w:hAnsi="Arial" w:cs="Arial"/>
          <w:b/>
          <w:sz w:val="22"/>
          <w:szCs w:val="22"/>
          <w:u w:val="single"/>
        </w:rPr>
      </w:pPr>
    </w:p>
    <w:p w:rsidR="000D20C1" w:rsidRPr="007B13C9" w:rsidRDefault="000D20C1" w:rsidP="000D20C1">
      <w:pPr>
        <w:rPr>
          <w:rFonts w:ascii="Arial" w:hAnsi="Arial" w:cs="Arial"/>
          <w:sz w:val="22"/>
          <w:szCs w:val="22"/>
        </w:rPr>
      </w:pPr>
      <w:r w:rsidRPr="007B13C9">
        <w:rPr>
          <w:rFonts w:ascii="Arial" w:hAnsi="Arial" w:cs="Arial"/>
          <w:sz w:val="22"/>
          <w:szCs w:val="22"/>
        </w:rPr>
        <w:t>Ao Município de Muriaé/MG</w:t>
      </w:r>
    </w:p>
    <w:p w:rsidR="000D20C1" w:rsidRPr="007B13C9" w:rsidRDefault="000D20C1" w:rsidP="000D20C1">
      <w:pPr>
        <w:rPr>
          <w:rFonts w:ascii="Arial" w:hAnsi="Arial" w:cs="Arial"/>
          <w:sz w:val="22"/>
          <w:szCs w:val="22"/>
        </w:rPr>
      </w:pPr>
      <w:r w:rsidRPr="007B13C9">
        <w:rPr>
          <w:rFonts w:ascii="Arial" w:hAnsi="Arial" w:cs="Arial"/>
          <w:sz w:val="22"/>
          <w:szCs w:val="22"/>
        </w:rPr>
        <w:t>A/C da Comissão Permanente de Licitação</w:t>
      </w:r>
    </w:p>
    <w:p w:rsidR="000D20C1" w:rsidRPr="007B13C9" w:rsidRDefault="000D20C1" w:rsidP="000D20C1">
      <w:pPr>
        <w:rPr>
          <w:rFonts w:ascii="Arial" w:hAnsi="Arial" w:cs="Arial"/>
          <w:b/>
          <w:sz w:val="22"/>
          <w:szCs w:val="22"/>
          <w:u w:val="single"/>
        </w:rPr>
      </w:pPr>
    </w:p>
    <w:p w:rsidR="000D20C1" w:rsidRPr="007B13C9" w:rsidRDefault="000D20C1" w:rsidP="000D20C1">
      <w:pPr>
        <w:rPr>
          <w:rFonts w:ascii="Arial" w:hAnsi="Arial" w:cs="Arial"/>
          <w:b/>
          <w:sz w:val="22"/>
          <w:szCs w:val="22"/>
          <w:u w:val="single"/>
        </w:rPr>
      </w:pPr>
      <w:r w:rsidRPr="007B13C9">
        <w:rPr>
          <w:rFonts w:ascii="Arial" w:hAnsi="Arial" w:cs="Arial"/>
          <w:b/>
          <w:sz w:val="22"/>
          <w:szCs w:val="22"/>
          <w:u w:val="single"/>
        </w:rPr>
        <w:t xml:space="preserve">Objeto: </w:t>
      </w:r>
      <w:r w:rsidRPr="007B13C9">
        <w:rPr>
          <w:rFonts w:ascii="Arial" w:hAnsi="Arial" w:cs="Arial"/>
          <w:b/>
          <w:sz w:val="22"/>
          <w:szCs w:val="22"/>
        </w:rPr>
        <w:t>XXXXXX</w:t>
      </w:r>
    </w:p>
    <w:p w:rsidR="000D20C1" w:rsidRPr="007B13C9" w:rsidRDefault="000D20C1" w:rsidP="000D20C1">
      <w:pPr>
        <w:jc w:val="center"/>
        <w:rPr>
          <w:rFonts w:ascii="Arial" w:hAnsi="Arial" w:cs="Arial"/>
          <w:b/>
          <w:sz w:val="22"/>
          <w:szCs w:val="22"/>
        </w:rPr>
      </w:pPr>
    </w:p>
    <w:p w:rsidR="000D20C1" w:rsidRPr="007B13C9" w:rsidRDefault="000D20C1" w:rsidP="000D20C1">
      <w:pPr>
        <w:jc w:val="center"/>
        <w:rPr>
          <w:rFonts w:ascii="Arial" w:hAnsi="Arial" w:cs="Arial"/>
          <w:b/>
          <w:sz w:val="22"/>
          <w:szCs w:val="22"/>
        </w:rPr>
      </w:pPr>
    </w:p>
    <w:p w:rsidR="000D20C1" w:rsidRPr="007B13C9" w:rsidRDefault="000D20C1" w:rsidP="000D20C1">
      <w:pPr>
        <w:jc w:val="center"/>
        <w:rPr>
          <w:rFonts w:ascii="Arial" w:hAnsi="Arial" w:cs="Arial"/>
          <w:b/>
          <w:sz w:val="22"/>
          <w:szCs w:val="22"/>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32"/>
        <w:gridCol w:w="2101"/>
        <w:gridCol w:w="1061"/>
        <w:gridCol w:w="3130"/>
      </w:tblGrid>
      <w:tr w:rsidR="000D20C1" w:rsidRPr="007B13C9" w:rsidTr="005E1A1B">
        <w:trPr>
          <w:cantSplit/>
          <w:trHeight w:val="56"/>
        </w:trPr>
        <w:tc>
          <w:tcPr>
            <w:tcW w:w="5733"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Nome da Licitante: </w:t>
            </w:r>
          </w:p>
          <w:p w:rsidR="000D20C1" w:rsidRPr="007B13C9" w:rsidRDefault="000D20C1" w:rsidP="005E1A1B">
            <w:pPr>
              <w:rPr>
                <w:rFonts w:ascii="Calibri" w:hAnsi="Calibri" w:cs="Calibri"/>
                <w:b/>
                <w:i/>
              </w:rPr>
            </w:pPr>
          </w:p>
        </w:tc>
        <w:tc>
          <w:tcPr>
            <w:tcW w:w="4191"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CNPJ: </w:t>
            </w:r>
          </w:p>
        </w:tc>
      </w:tr>
      <w:tr w:rsidR="000D20C1" w:rsidRPr="007B13C9" w:rsidTr="005E1A1B">
        <w:trPr>
          <w:cantSplit/>
          <w:trHeight w:val="56"/>
        </w:trPr>
        <w:tc>
          <w:tcPr>
            <w:tcW w:w="5733"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Endereço: </w:t>
            </w:r>
          </w:p>
        </w:tc>
        <w:tc>
          <w:tcPr>
            <w:tcW w:w="4191"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N</w:t>
            </w:r>
            <w:r w:rsidRPr="007B13C9">
              <w:rPr>
                <w:rFonts w:ascii="Calibri" w:hAnsi="Calibri" w:cs="Calibri"/>
                <w:i/>
                <w:u w:val="single"/>
                <w:vertAlign w:val="superscript"/>
              </w:rPr>
              <w:t>o</w:t>
            </w:r>
            <w:r w:rsidRPr="007B13C9">
              <w:rPr>
                <w:rFonts w:ascii="Calibri" w:hAnsi="Calibri" w:cs="Calibri"/>
                <w:i/>
              </w:rPr>
              <w:t xml:space="preserve">: </w:t>
            </w:r>
          </w:p>
        </w:tc>
      </w:tr>
      <w:tr w:rsidR="000D20C1" w:rsidRPr="007B13C9" w:rsidTr="005E1A1B">
        <w:trPr>
          <w:cantSplit/>
          <w:trHeight w:val="56"/>
        </w:trPr>
        <w:tc>
          <w:tcPr>
            <w:tcW w:w="5733"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Bairro: </w:t>
            </w:r>
          </w:p>
        </w:tc>
        <w:tc>
          <w:tcPr>
            <w:tcW w:w="4191"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Cidade: </w:t>
            </w:r>
          </w:p>
        </w:tc>
      </w:tr>
      <w:tr w:rsidR="000D20C1" w:rsidRPr="007B13C9" w:rsidTr="005E1A1B">
        <w:trPr>
          <w:trHeight w:val="56"/>
        </w:trPr>
        <w:tc>
          <w:tcPr>
            <w:tcW w:w="3632" w:type="dxa"/>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CEP: </w:t>
            </w:r>
          </w:p>
        </w:tc>
        <w:tc>
          <w:tcPr>
            <w:tcW w:w="3162" w:type="dxa"/>
            <w:gridSpan w:val="2"/>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Telefone: </w:t>
            </w:r>
          </w:p>
        </w:tc>
        <w:tc>
          <w:tcPr>
            <w:tcW w:w="3130" w:type="dxa"/>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b/>
                <w:i/>
              </w:rPr>
            </w:pPr>
            <w:r w:rsidRPr="007B13C9">
              <w:rPr>
                <w:rFonts w:ascii="Calibri" w:hAnsi="Calibri" w:cs="Calibri"/>
                <w:i/>
              </w:rPr>
              <w:t xml:space="preserve">Fax: </w:t>
            </w:r>
          </w:p>
        </w:tc>
      </w:tr>
      <w:tr w:rsidR="000D20C1" w:rsidRPr="007B13C9" w:rsidTr="005E1A1B">
        <w:trPr>
          <w:trHeight w:val="127"/>
        </w:trPr>
        <w:tc>
          <w:tcPr>
            <w:tcW w:w="9924" w:type="dxa"/>
            <w:gridSpan w:val="4"/>
            <w:tcBorders>
              <w:top w:val="single" w:sz="4" w:space="0" w:color="auto"/>
              <w:left w:val="single" w:sz="4" w:space="0" w:color="auto"/>
              <w:bottom w:val="single" w:sz="4" w:space="0" w:color="auto"/>
              <w:right w:val="single" w:sz="4" w:space="0" w:color="auto"/>
            </w:tcBorders>
          </w:tcPr>
          <w:p w:rsidR="000D20C1" w:rsidRPr="007B13C9" w:rsidRDefault="000D20C1" w:rsidP="005E1A1B">
            <w:pPr>
              <w:rPr>
                <w:rFonts w:ascii="Calibri" w:hAnsi="Calibri" w:cs="Calibri"/>
                <w:i/>
              </w:rPr>
            </w:pPr>
            <w:r w:rsidRPr="007B13C9">
              <w:rPr>
                <w:rFonts w:ascii="Calibri" w:hAnsi="Calibri" w:cs="Calibri"/>
                <w:i/>
              </w:rPr>
              <w:t xml:space="preserve">e-mail: </w:t>
            </w:r>
          </w:p>
        </w:tc>
      </w:tr>
    </w:tbl>
    <w:p w:rsidR="000D20C1" w:rsidRPr="007B13C9" w:rsidRDefault="000D20C1" w:rsidP="000D20C1">
      <w:pPr>
        <w:jc w:val="center"/>
        <w:rPr>
          <w:rFonts w:ascii="Arial" w:hAnsi="Arial" w:cs="Arial"/>
          <w:b/>
          <w:sz w:val="22"/>
          <w:szCs w:val="22"/>
        </w:rPr>
      </w:pPr>
    </w:p>
    <w:p w:rsidR="000D20C1" w:rsidRPr="007B13C9" w:rsidRDefault="000D20C1" w:rsidP="000D20C1">
      <w:pPr>
        <w:jc w:val="center"/>
        <w:rPr>
          <w:rFonts w:ascii="Arial" w:hAnsi="Arial" w:cs="Arial"/>
          <w:b/>
          <w:sz w:val="22"/>
          <w:szCs w:val="22"/>
        </w:rPr>
      </w:pPr>
    </w:p>
    <w:p w:rsidR="000D20C1" w:rsidRPr="007B13C9" w:rsidRDefault="000D20C1" w:rsidP="000D20C1">
      <w:pPr>
        <w:rPr>
          <w:rFonts w:ascii="Arial" w:hAnsi="Arial" w:cs="Arial"/>
          <w:b/>
          <w:sz w:val="22"/>
          <w:szCs w:val="22"/>
        </w:rPr>
      </w:pPr>
      <w:r w:rsidRPr="007B13C9">
        <w:rPr>
          <w:rFonts w:ascii="Arial" w:hAnsi="Arial" w:cs="Arial"/>
          <w:b/>
          <w:sz w:val="22"/>
          <w:szCs w:val="22"/>
        </w:rPr>
        <w:t>PREFEITURA MUNICIPAL</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4478"/>
        <w:gridCol w:w="851"/>
        <w:gridCol w:w="850"/>
        <w:gridCol w:w="1417"/>
        <w:gridCol w:w="1884"/>
      </w:tblGrid>
      <w:tr w:rsidR="000D20C1" w:rsidRPr="007B13C9" w:rsidTr="005E1A1B">
        <w:trPr>
          <w:trHeight w:val="609"/>
          <w:jc w:val="center"/>
        </w:trPr>
        <w:tc>
          <w:tcPr>
            <w:tcW w:w="666"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ITEM</w:t>
            </w:r>
          </w:p>
        </w:tc>
        <w:tc>
          <w:tcPr>
            <w:tcW w:w="4478" w:type="dxa"/>
            <w:shd w:val="clear" w:color="000000" w:fill="D8D8D8"/>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DESCRIÇÃO</w:t>
            </w:r>
          </w:p>
        </w:tc>
        <w:tc>
          <w:tcPr>
            <w:tcW w:w="851"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UND</w:t>
            </w:r>
          </w:p>
        </w:tc>
        <w:tc>
          <w:tcPr>
            <w:tcW w:w="850"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QTDE</w:t>
            </w:r>
          </w:p>
        </w:tc>
        <w:tc>
          <w:tcPr>
            <w:tcW w:w="1417"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UNITÁRIO</w:t>
            </w:r>
          </w:p>
        </w:tc>
        <w:tc>
          <w:tcPr>
            <w:tcW w:w="1884"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TOTAL</w:t>
            </w: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Controladoria,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hideMark/>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Controladoria:                     Planejamento, Gestão e Resultado, Orçamento, Contabilidade Pública, Extra </w:t>
            </w:r>
            <w:r w:rsidRPr="007B13C9">
              <w:rPr>
                <w:rFonts w:ascii="Arial" w:hAnsi="Arial" w:cs="Arial"/>
                <w:sz w:val="22"/>
                <w:szCs w:val="22"/>
              </w:rPr>
              <w:lastRenderedPageBreak/>
              <w:t xml:space="preserve">orçamentária, Controle Interno, Tesouraria, Contratos, Estoque, Compras, Licitação, Patrimônio, Frota, Cotação de preços via WEB e Arquivo Morto.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MÊS</w:t>
            </w:r>
          </w:p>
        </w:tc>
        <w:tc>
          <w:tcPr>
            <w:tcW w:w="850"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00"/>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02</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Recursos Humanos,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2.1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Recursos Humanos até 3.000 funcionários: Folha de Pagamento, mensageria para atender ao               e-Social, Medicina do Trabalho, Segurança do Trabalho, Contracheque online, Benefícios, Jurídico Trabalhista, Treinamento e Avaliação de Desempenho, Painel de Gestão, Ponto eletrônico, LGPD e Capacitação do Servidor Público.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03</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Arrecadação Tributária, com a instalação, implantação, integração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3.1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Arrecadação Tributária: Arrecadação e gestão das receitas, Autoatendimento online, Execução Fiscal e Jurídica, IPTU WEB, ITBI online, Protocolo e Processos na WEB, Pagamento PIX, Gestão Eletrônica de Documentos, Cemitério, APP para o Cidadão.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04</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Educação Municipal,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68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4.1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Educação Municipal: Dashboards, Cadastros Gerais, Acadêmico e Pedagógico, Remoção de professores, Formações, Biblioteca, Espera </w:t>
            </w:r>
            <w:r w:rsidRPr="007B13C9">
              <w:rPr>
                <w:rFonts w:ascii="Arial" w:hAnsi="Arial" w:cs="Arial"/>
                <w:sz w:val="22"/>
                <w:szCs w:val="22"/>
              </w:rPr>
              <w:lastRenderedPageBreak/>
              <w:t xml:space="preserve">de Vagas, Alimentação Escolar, Portal do Aluno, Unificações, Diários Escolares, Atendimento educacional, Transporte Escolar, Painel do Aluno, Estoque, Certificados Digitais, Censo Escolar, Relatórios.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05</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Saúde Municipal,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5.1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Saúde Municipal:  Faturamento, Saúde da Família, Atendimento, Transporte, Odontologia, Ações Programáticas, Ouvidoria, Preventivos de Câncer, Central de agendamento e Regulação, Central de Medicamentos, Aplicações de Vacina, Laboratório, Procedimentos de Alta Complexidade, Vigilância Sanitária, Controle de Epidemiologia, Vigilância Ambiental, Certificações Digitais, Painel Eletrônico, Painel para Controle de Agentes, Controle de Ambulâncias, Aplicativo, Funcionalidade adicionais, Configurações Gerais, Comunicações.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06</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Assistência Municipal,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6.1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Assistência Municipal: Dashboards, Cadastros Gerais, Certificações Digitais, Habitação, Agendamento, Estoque, Mapas Temáticos, Formulários de Pesquisa de Opinião, índice de Vulnerabilidade Social, Importações, Formulários Mensais de atendimento – RMA, Atendimento, Unificações, Aplicativo Móvel, Relatórios, Indicadores.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07</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Meio Ambiente Municipal,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085"/>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7.1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Meio Ambiente Municipal: Licenciamento e Documentos Ambientais, Licenciamento Florestal, Serviços Urbanos, Agenda Programada, Cadastro Ambiental, Controle de Resíduos, Controle de Efluentes, Consultores Técnicos, Comunicação e Educação Ambiental, Conselho de Meio Ambiente, Fiscalização Ambiental, TCFA - Taxa de controle e fiscalização ambiental, Bem Estar Animal.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08</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do Esporte Municipal,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8.1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do Esporte Municipal: Acesso Administrativo, Acesso do Usuário Comum, Cadastro de Pessoas, Gerenciamento de documentos e aprovações, Gerenciamento de competições, Paradesporto, Cadastro de Entidades, Educação e Treinamento, Inscrições, Estruturas Esportivas, Reservas, Bolsas de Incentivo ao Esporte, Portal.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09</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da Procuradoria do Poder Executivo, com a instalação, implantação e treinamento inicial no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9.1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para Procuradoria do Poder Executivo integrado com o poder legislativo e Módulo de atualização automática de website.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w:t>
            </w:r>
            <w:r w:rsidRPr="007B13C9">
              <w:rPr>
                <w:rFonts w:ascii="Arial" w:hAnsi="Arial" w:cs="Arial"/>
                <w:sz w:val="22"/>
                <w:szCs w:val="22"/>
              </w:rPr>
              <w:lastRenderedPageBreak/>
              <w:t>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258"/>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10</w:t>
            </w:r>
          </w:p>
        </w:tc>
        <w:tc>
          <w:tcPr>
            <w:tcW w:w="4478" w:type="dxa"/>
            <w:vAlign w:val="center"/>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1.1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258"/>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2.1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258"/>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4478" w:type="dxa"/>
            <w:vAlign w:val="center"/>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3.1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50"/>
          <w:jc w:val="center"/>
        </w:trPr>
        <w:tc>
          <w:tcPr>
            <w:tcW w:w="8262" w:type="dxa"/>
            <w:gridSpan w:val="5"/>
            <w:shd w:val="clear" w:color="auto" w:fill="F2F2F2"/>
            <w:noWrap/>
            <w:vAlign w:val="center"/>
          </w:tcPr>
          <w:p w:rsidR="000D20C1" w:rsidRPr="007B13C9" w:rsidRDefault="000D20C1" w:rsidP="005E1A1B">
            <w:pPr>
              <w:jc w:val="center"/>
              <w:rPr>
                <w:rFonts w:ascii="Arial" w:hAnsi="Arial" w:cs="Arial"/>
                <w:b/>
                <w:color w:val="000000"/>
                <w:szCs w:val="22"/>
              </w:rPr>
            </w:pPr>
            <w:r w:rsidRPr="007B13C9">
              <w:rPr>
                <w:rFonts w:ascii="Arial" w:hAnsi="Arial" w:cs="Arial"/>
                <w:b/>
                <w:color w:val="000000"/>
                <w:sz w:val="22"/>
                <w:szCs w:val="22"/>
              </w:rPr>
              <w:t>VALOR TOTAL PREVISTO PARA O PRIMEIRO ANO DE CONTRATO:</w:t>
            </w:r>
          </w:p>
        </w:tc>
        <w:tc>
          <w:tcPr>
            <w:tcW w:w="1884" w:type="dxa"/>
            <w:shd w:val="clear" w:color="auto" w:fill="F2F2F2"/>
            <w:noWrap/>
            <w:vAlign w:val="center"/>
          </w:tcPr>
          <w:p w:rsidR="000D20C1" w:rsidRPr="007B13C9" w:rsidRDefault="000D20C1" w:rsidP="005E1A1B">
            <w:pPr>
              <w:rPr>
                <w:rFonts w:ascii="Arial" w:hAnsi="Arial" w:cs="Arial"/>
                <w:b/>
                <w:color w:val="000000"/>
                <w:szCs w:val="22"/>
              </w:rPr>
            </w:pPr>
          </w:p>
        </w:tc>
      </w:tr>
    </w:tbl>
    <w:p w:rsidR="000D20C1" w:rsidRPr="007B13C9" w:rsidRDefault="000D20C1" w:rsidP="000D20C1">
      <w:pPr>
        <w:pStyle w:val="PargrafodaLista"/>
        <w:ind w:left="720"/>
        <w:rPr>
          <w:rFonts w:ascii="Arial" w:hAnsi="Arial" w:cs="Arial"/>
          <w:b/>
          <w:sz w:val="22"/>
          <w:szCs w:val="22"/>
        </w:rPr>
      </w:pPr>
    </w:p>
    <w:p w:rsidR="000D20C1" w:rsidRPr="007B13C9" w:rsidRDefault="000D20C1" w:rsidP="000D20C1">
      <w:pPr>
        <w:rPr>
          <w:rFonts w:ascii="Arial" w:hAnsi="Arial" w:cs="Arial"/>
          <w:b/>
          <w:sz w:val="22"/>
          <w:szCs w:val="22"/>
        </w:rPr>
      </w:pPr>
      <w:r w:rsidRPr="007B13C9">
        <w:rPr>
          <w:rFonts w:ascii="Arial" w:hAnsi="Arial" w:cs="Arial"/>
          <w:b/>
          <w:sz w:val="22"/>
          <w:szCs w:val="22"/>
        </w:rPr>
        <w:t xml:space="preserve">CÂMARA MUNICIPAL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4478"/>
        <w:gridCol w:w="851"/>
        <w:gridCol w:w="850"/>
        <w:gridCol w:w="1417"/>
        <w:gridCol w:w="1884"/>
      </w:tblGrid>
      <w:tr w:rsidR="000D20C1" w:rsidRPr="007B13C9" w:rsidTr="005E1A1B">
        <w:trPr>
          <w:trHeight w:val="405"/>
          <w:jc w:val="center"/>
        </w:trPr>
        <w:tc>
          <w:tcPr>
            <w:tcW w:w="666"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ITEM</w:t>
            </w:r>
          </w:p>
        </w:tc>
        <w:tc>
          <w:tcPr>
            <w:tcW w:w="4478" w:type="dxa"/>
            <w:shd w:val="clear" w:color="000000" w:fill="D8D8D8"/>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DESCRIÇÃO</w:t>
            </w:r>
          </w:p>
        </w:tc>
        <w:tc>
          <w:tcPr>
            <w:tcW w:w="851"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UND</w:t>
            </w:r>
          </w:p>
        </w:tc>
        <w:tc>
          <w:tcPr>
            <w:tcW w:w="850"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QTDE</w:t>
            </w:r>
          </w:p>
        </w:tc>
        <w:tc>
          <w:tcPr>
            <w:tcW w:w="1417"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UNITÁRIO</w:t>
            </w:r>
          </w:p>
        </w:tc>
        <w:tc>
          <w:tcPr>
            <w:tcW w:w="1884"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TOTAL</w:t>
            </w: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Controladoria,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Controladoria:                     Planejamento, Gestão e Resultado, Orçamento, Contabilidade Pública, Extra orçamentária, Controle Interno, Tesouraria, Contratos, Estoque, Compras, Licitação, Patrimônio, Frota, Cotação de preços via WEB e Arquivo Morto.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02</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Recursos Humanos,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2.1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Recursos Humanos até 100 funcionários: Folha de Pagamento, mensageria para atender ao               e-Social, Contracheque online, Benefícios, Jurídico Trabalhista, Treinamento e Avaliação de Desempenho, Painel de Gestão, LGPD e Capacitação do Servidor Público. Já incluso </w:t>
            </w:r>
            <w:r w:rsidR="0034527B" w:rsidRPr="007B13C9">
              <w:rPr>
                <w:rFonts w:ascii="Arial" w:hAnsi="Arial" w:cs="Arial"/>
                <w:sz w:val="22"/>
                <w:szCs w:val="22"/>
              </w:rPr>
              <w:t>Consultor residente</w:t>
            </w:r>
            <w:r w:rsidRPr="007B13C9">
              <w:rPr>
                <w:rFonts w:ascii="Arial" w:hAnsi="Arial" w:cs="Arial"/>
                <w:sz w:val="22"/>
                <w:szCs w:val="22"/>
              </w:rPr>
              <w:t xml:space="preserve"> e as </w:t>
            </w:r>
            <w:r w:rsidRPr="007B13C9">
              <w:rPr>
                <w:rFonts w:ascii="Arial" w:hAnsi="Arial" w:cs="Arial"/>
                <w:sz w:val="22"/>
                <w:szCs w:val="22"/>
              </w:rPr>
              <w:lastRenderedPageBreak/>
              <w:t>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03</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do Legislativo,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3.1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Locação mensal da Licença de Uso do sistema informatizado do Legislativo:</w:t>
            </w:r>
            <w:r w:rsidRPr="007B13C9">
              <w:t xml:space="preserve"> </w:t>
            </w:r>
            <w:r w:rsidRPr="007B13C9">
              <w:rPr>
                <w:rFonts w:ascii="Arial" w:hAnsi="Arial" w:cs="Arial"/>
                <w:sz w:val="22"/>
                <w:szCs w:val="22"/>
              </w:rPr>
              <w:t xml:space="preserve">Módulo de controle do processo legislativo municipal integrado ao módulo de apoio aos gabinetes dos vereadores, Módulo de atualização automática de website, Aplicativo e Módulo de controle e Gerenciamento </w:t>
            </w:r>
            <w:proofErr w:type="gramStart"/>
            <w:r w:rsidRPr="007B13C9">
              <w:rPr>
                <w:rFonts w:ascii="Arial" w:hAnsi="Arial" w:cs="Arial"/>
                <w:sz w:val="22"/>
                <w:szCs w:val="22"/>
              </w:rPr>
              <w:t>das Sessão</w:t>
            </w:r>
            <w:proofErr w:type="gramEnd"/>
            <w:r w:rsidRPr="007B13C9">
              <w:rPr>
                <w:rFonts w:ascii="Arial" w:hAnsi="Arial" w:cs="Arial"/>
                <w:sz w:val="22"/>
                <w:szCs w:val="22"/>
              </w:rPr>
              <w:t xml:space="preserve"> Plenária.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04</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1.1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05</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2.1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06</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3.1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50"/>
          <w:jc w:val="center"/>
        </w:trPr>
        <w:tc>
          <w:tcPr>
            <w:tcW w:w="8262" w:type="dxa"/>
            <w:gridSpan w:val="5"/>
            <w:shd w:val="clear" w:color="auto" w:fill="F2F2F2"/>
            <w:noWrap/>
            <w:vAlign w:val="center"/>
          </w:tcPr>
          <w:p w:rsidR="000D20C1" w:rsidRPr="007B13C9" w:rsidRDefault="000D20C1" w:rsidP="005E1A1B">
            <w:pPr>
              <w:jc w:val="center"/>
              <w:rPr>
                <w:rFonts w:ascii="Arial" w:hAnsi="Arial" w:cs="Arial"/>
                <w:b/>
                <w:color w:val="000000"/>
                <w:szCs w:val="22"/>
              </w:rPr>
            </w:pPr>
            <w:r w:rsidRPr="007B13C9">
              <w:rPr>
                <w:rFonts w:ascii="Arial" w:hAnsi="Arial" w:cs="Arial"/>
                <w:b/>
                <w:color w:val="000000"/>
                <w:sz w:val="22"/>
                <w:szCs w:val="22"/>
              </w:rPr>
              <w:t>VALOR TOTAL PREVISTO PARA O PRIMEIRO ANO DE CONTRATO:</w:t>
            </w:r>
          </w:p>
        </w:tc>
        <w:tc>
          <w:tcPr>
            <w:tcW w:w="1884" w:type="dxa"/>
            <w:shd w:val="clear" w:color="auto" w:fill="F2F2F2"/>
            <w:noWrap/>
            <w:vAlign w:val="center"/>
          </w:tcPr>
          <w:p w:rsidR="000D20C1" w:rsidRPr="007B13C9" w:rsidRDefault="000D20C1" w:rsidP="005E1A1B">
            <w:pPr>
              <w:jc w:val="center"/>
              <w:rPr>
                <w:rFonts w:ascii="Arial" w:hAnsi="Arial" w:cs="Arial"/>
                <w:b/>
                <w:color w:val="000000"/>
                <w:szCs w:val="22"/>
              </w:rPr>
            </w:pPr>
          </w:p>
        </w:tc>
      </w:tr>
    </w:tbl>
    <w:p w:rsidR="000D20C1" w:rsidRPr="007B13C9" w:rsidRDefault="000D20C1" w:rsidP="000D20C1">
      <w:pPr>
        <w:rPr>
          <w:rFonts w:ascii="Arial" w:hAnsi="Arial" w:cs="Arial"/>
          <w:b/>
          <w:sz w:val="22"/>
          <w:szCs w:val="22"/>
        </w:rPr>
      </w:pPr>
    </w:p>
    <w:p w:rsidR="000D20C1" w:rsidRPr="007B13C9" w:rsidRDefault="000D20C1" w:rsidP="000D20C1">
      <w:pPr>
        <w:rPr>
          <w:rFonts w:ascii="Arial" w:hAnsi="Arial" w:cs="Arial"/>
          <w:b/>
          <w:sz w:val="22"/>
          <w:szCs w:val="22"/>
        </w:rPr>
      </w:pPr>
      <w:r w:rsidRPr="007B13C9">
        <w:rPr>
          <w:rFonts w:ascii="Arial" w:hAnsi="Arial" w:cs="Arial"/>
          <w:b/>
          <w:sz w:val="22"/>
          <w:szCs w:val="22"/>
        </w:rPr>
        <w:t>FUNDARTE</w:t>
      </w:r>
    </w:p>
    <w:p w:rsidR="000D20C1" w:rsidRPr="007B13C9" w:rsidRDefault="000D20C1" w:rsidP="000D20C1">
      <w:pPr>
        <w:rPr>
          <w:rFonts w:ascii="Arial" w:hAnsi="Arial" w:cs="Arial"/>
          <w:b/>
          <w:sz w:val="10"/>
          <w:szCs w:val="10"/>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4478"/>
        <w:gridCol w:w="851"/>
        <w:gridCol w:w="850"/>
        <w:gridCol w:w="1417"/>
        <w:gridCol w:w="1884"/>
      </w:tblGrid>
      <w:tr w:rsidR="000D20C1" w:rsidRPr="007B13C9" w:rsidTr="005E1A1B">
        <w:trPr>
          <w:trHeight w:val="405"/>
          <w:jc w:val="center"/>
        </w:trPr>
        <w:tc>
          <w:tcPr>
            <w:tcW w:w="666"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ITEM</w:t>
            </w:r>
          </w:p>
        </w:tc>
        <w:tc>
          <w:tcPr>
            <w:tcW w:w="4478" w:type="dxa"/>
            <w:shd w:val="clear" w:color="000000" w:fill="D8D8D8"/>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DESCRIÇÃO</w:t>
            </w:r>
          </w:p>
        </w:tc>
        <w:tc>
          <w:tcPr>
            <w:tcW w:w="851"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UND</w:t>
            </w:r>
          </w:p>
        </w:tc>
        <w:tc>
          <w:tcPr>
            <w:tcW w:w="850"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QTDE</w:t>
            </w:r>
          </w:p>
        </w:tc>
        <w:tc>
          <w:tcPr>
            <w:tcW w:w="1417"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UNITÁRIO</w:t>
            </w:r>
          </w:p>
        </w:tc>
        <w:tc>
          <w:tcPr>
            <w:tcW w:w="1884"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TOTAL</w:t>
            </w: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Controladoria,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Controladoria:                     Planejamento, Gestão e Resultado, Orçamento, Contabilidade Pública, Extra orçamentária, Controle Interno, Tesouraria, Contratos, Estoque, Compras, Licitação, Patrimônio, Frota, Cotação de preços via </w:t>
            </w:r>
            <w:r w:rsidRPr="007B13C9">
              <w:rPr>
                <w:rFonts w:ascii="Arial" w:hAnsi="Arial" w:cs="Arial"/>
                <w:sz w:val="22"/>
                <w:szCs w:val="22"/>
              </w:rPr>
              <w:lastRenderedPageBreak/>
              <w:t xml:space="preserve">WEB e Arquivo Morto.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258"/>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02</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Recursos Humanos,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2.1</w:t>
            </w:r>
          </w:p>
        </w:tc>
        <w:tc>
          <w:tcPr>
            <w:tcW w:w="4478" w:type="dxa"/>
            <w:vAlign w:val="center"/>
          </w:tcPr>
          <w:p w:rsidR="000D20C1" w:rsidRPr="007B13C9" w:rsidRDefault="000D20C1" w:rsidP="0034527B">
            <w:pPr>
              <w:rPr>
                <w:rFonts w:ascii="Arial" w:hAnsi="Arial" w:cs="Arial"/>
                <w:szCs w:val="22"/>
              </w:rPr>
            </w:pPr>
            <w:r w:rsidRPr="007B13C9">
              <w:rPr>
                <w:rFonts w:ascii="Arial" w:hAnsi="Arial" w:cs="Arial"/>
                <w:sz w:val="22"/>
                <w:szCs w:val="22"/>
              </w:rPr>
              <w:t xml:space="preserve">Locação mensal da Licença de Uso do sistema informatizado de Recursos Humanos até 100 funcionários: Folha de Pagamento, mensageria para atender ao               e-Social, Ponto Eletrônico, Medicina do Trabalho, Segurança do Trabalho, </w:t>
            </w:r>
            <w:r w:rsidR="0034527B" w:rsidRPr="007B13C9">
              <w:rPr>
                <w:rFonts w:ascii="Arial" w:hAnsi="Arial" w:cs="Arial"/>
                <w:sz w:val="22"/>
                <w:szCs w:val="22"/>
              </w:rPr>
              <w:t>Contracheque</w:t>
            </w:r>
            <w:r w:rsidRPr="007B13C9">
              <w:rPr>
                <w:rFonts w:ascii="Arial" w:hAnsi="Arial" w:cs="Arial"/>
                <w:sz w:val="22"/>
                <w:szCs w:val="22"/>
              </w:rPr>
              <w:t xml:space="preserve"> online, Benefícios, Jurídico Trabalhista, Treinamento e Avaliação de Desempenho, Painel de Gestão, LGPD e Capacitação do Servidor público.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03</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1.1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04</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2.1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50"/>
          <w:jc w:val="center"/>
        </w:trPr>
        <w:tc>
          <w:tcPr>
            <w:tcW w:w="8262" w:type="dxa"/>
            <w:gridSpan w:val="5"/>
            <w:shd w:val="clear" w:color="auto" w:fill="F2F2F2"/>
            <w:noWrap/>
            <w:vAlign w:val="center"/>
          </w:tcPr>
          <w:p w:rsidR="000D20C1" w:rsidRPr="007B13C9" w:rsidRDefault="000D20C1" w:rsidP="005E1A1B">
            <w:pPr>
              <w:jc w:val="center"/>
              <w:rPr>
                <w:rFonts w:ascii="Arial" w:hAnsi="Arial" w:cs="Arial"/>
                <w:b/>
                <w:color w:val="000000"/>
                <w:szCs w:val="22"/>
              </w:rPr>
            </w:pPr>
            <w:r w:rsidRPr="007B13C9">
              <w:rPr>
                <w:rFonts w:ascii="Arial" w:hAnsi="Arial" w:cs="Arial"/>
                <w:b/>
                <w:color w:val="000000"/>
                <w:sz w:val="22"/>
                <w:szCs w:val="22"/>
              </w:rPr>
              <w:t>VALOR TOTAL PREVISTO PARA O PRIMEIRO ANO DE CONTRATO:</w:t>
            </w:r>
          </w:p>
        </w:tc>
        <w:tc>
          <w:tcPr>
            <w:tcW w:w="1884" w:type="dxa"/>
            <w:shd w:val="clear" w:color="auto" w:fill="F2F2F2"/>
            <w:noWrap/>
            <w:vAlign w:val="center"/>
          </w:tcPr>
          <w:p w:rsidR="000D20C1" w:rsidRPr="007B13C9" w:rsidRDefault="000D20C1" w:rsidP="005E1A1B">
            <w:pPr>
              <w:jc w:val="center"/>
              <w:rPr>
                <w:rFonts w:ascii="Arial" w:hAnsi="Arial" w:cs="Arial"/>
                <w:b/>
                <w:color w:val="000000"/>
                <w:szCs w:val="22"/>
              </w:rPr>
            </w:pPr>
          </w:p>
        </w:tc>
      </w:tr>
    </w:tbl>
    <w:p w:rsidR="000D20C1" w:rsidRPr="007B13C9" w:rsidRDefault="000D20C1" w:rsidP="000D20C1">
      <w:pPr>
        <w:rPr>
          <w:rFonts w:ascii="Arial" w:hAnsi="Arial" w:cs="Arial"/>
          <w:b/>
          <w:color w:val="000000"/>
          <w:sz w:val="22"/>
          <w:szCs w:val="22"/>
        </w:rPr>
      </w:pPr>
    </w:p>
    <w:p w:rsidR="000D20C1" w:rsidRPr="007B13C9" w:rsidRDefault="000D20C1" w:rsidP="000D20C1">
      <w:pPr>
        <w:rPr>
          <w:rFonts w:ascii="Arial" w:hAnsi="Arial" w:cs="Arial"/>
          <w:b/>
          <w:sz w:val="22"/>
          <w:szCs w:val="22"/>
        </w:rPr>
      </w:pPr>
      <w:r w:rsidRPr="007B13C9">
        <w:rPr>
          <w:rFonts w:ascii="Arial" w:hAnsi="Arial" w:cs="Arial"/>
          <w:b/>
          <w:sz w:val="22"/>
          <w:szCs w:val="22"/>
        </w:rPr>
        <w:t>MURIAÉPREV</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4478"/>
        <w:gridCol w:w="851"/>
        <w:gridCol w:w="850"/>
        <w:gridCol w:w="1417"/>
        <w:gridCol w:w="1884"/>
      </w:tblGrid>
      <w:tr w:rsidR="000D20C1" w:rsidRPr="007B13C9" w:rsidTr="005E1A1B">
        <w:trPr>
          <w:trHeight w:val="405"/>
          <w:jc w:val="center"/>
        </w:trPr>
        <w:tc>
          <w:tcPr>
            <w:tcW w:w="666"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ITEM</w:t>
            </w:r>
          </w:p>
        </w:tc>
        <w:tc>
          <w:tcPr>
            <w:tcW w:w="4478" w:type="dxa"/>
            <w:shd w:val="clear" w:color="000000" w:fill="D8D8D8"/>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DESCRIÇÃO</w:t>
            </w:r>
          </w:p>
        </w:tc>
        <w:tc>
          <w:tcPr>
            <w:tcW w:w="851"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UND</w:t>
            </w:r>
          </w:p>
        </w:tc>
        <w:tc>
          <w:tcPr>
            <w:tcW w:w="850"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QTDE</w:t>
            </w:r>
          </w:p>
        </w:tc>
        <w:tc>
          <w:tcPr>
            <w:tcW w:w="1417"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UNITÁRIO</w:t>
            </w:r>
          </w:p>
        </w:tc>
        <w:tc>
          <w:tcPr>
            <w:tcW w:w="1884"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TOTAL</w:t>
            </w: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Controladoria,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Controladoria:                     Planejamento, Gestão e Resultado, Orçamento, Contabilidade Pública, Extra orçamentária, Controle Interno, Tesouraria, Contratos, Estoque, Compras, Licitação, Patrimônio, Frota, Cotação de preços via WEB e Arquivo Morto.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lastRenderedPageBreak/>
              <w:t>02</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Recursos Humanos,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258"/>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2.1</w:t>
            </w:r>
          </w:p>
        </w:tc>
        <w:tc>
          <w:tcPr>
            <w:tcW w:w="4478" w:type="dxa"/>
            <w:vAlign w:val="center"/>
          </w:tcPr>
          <w:p w:rsidR="000D20C1" w:rsidRPr="007B13C9" w:rsidRDefault="000D20C1" w:rsidP="0034527B">
            <w:pPr>
              <w:rPr>
                <w:rFonts w:ascii="Arial" w:hAnsi="Arial" w:cs="Arial"/>
                <w:szCs w:val="22"/>
              </w:rPr>
            </w:pPr>
            <w:r w:rsidRPr="007B13C9">
              <w:rPr>
                <w:rFonts w:ascii="Arial" w:hAnsi="Arial" w:cs="Arial"/>
                <w:sz w:val="22"/>
                <w:szCs w:val="22"/>
              </w:rPr>
              <w:t xml:space="preserve">Locação mensal da Licença de Uso do sistema informatizado de Recursos Humanos até XXXX funcionários: LGPD e Capacitação do Servidor Público.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03</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1.1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50"/>
          <w:jc w:val="center"/>
        </w:trPr>
        <w:tc>
          <w:tcPr>
            <w:tcW w:w="8262" w:type="dxa"/>
            <w:gridSpan w:val="5"/>
            <w:shd w:val="clear" w:color="auto" w:fill="F2F2F2"/>
            <w:noWrap/>
            <w:vAlign w:val="center"/>
          </w:tcPr>
          <w:p w:rsidR="000D20C1" w:rsidRPr="007B13C9" w:rsidRDefault="000D20C1" w:rsidP="005E1A1B">
            <w:pPr>
              <w:jc w:val="center"/>
              <w:rPr>
                <w:rFonts w:ascii="Arial" w:hAnsi="Arial" w:cs="Arial"/>
                <w:b/>
                <w:color w:val="000000"/>
                <w:szCs w:val="22"/>
              </w:rPr>
            </w:pPr>
            <w:r w:rsidRPr="007B13C9">
              <w:rPr>
                <w:rFonts w:ascii="Arial" w:hAnsi="Arial" w:cs="Arial"/>
                <w:b/>
                <w:color w:val="000000"/>
                <w:sz w:val="22"/>
                <w:szCs w:val="22"/>
              </w:rPr>
              <w:t>VALOR TOTAL PREVISTO PARA O PRIMEIRO ANO DE CONTRATO:</w:t>
            </w:r>
          </w:p>
        </w:tc>
        <w:tc>
          <w:tcPr>
            <w:tcW w:w="1884" w:type="dxa"/>
            <w:shd w:val="clear" w:color="auto" w:fill="F2F2F2"/>
            <w:noWrap/>
            <w:vAlign w:val="center"/>
          </w:tcPr>
          <w:p w:rsidR="000D20C1" w:rsidRPr="007B13C9" w:rsidRDefault="000D20C1" w:rsidP="005E1A1B">
            <w:pPr>
              <w:jc w:val="center"/>
              <w:rPr>
                <w:rFonts w:ascii="Arial" w:hAnsi="Arial" w:cs="Arial"/>
                <w:b/>
                <w:color w:val="000000"/>
                <w:szCs w:val="22"/>
              </w:rPr>
            </w:pPr>
          </w:p>
        </w:tc>
      </w:tr>
    </w:tbl>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hanging="720"/>
        <w:rPr>
          <w:rFonts w:ascii="Arial" w:hAnsi="Arial" w:cs="Arial"/>
          <w:b/>
          <w:color w:val="000000"/>
          <w:sz w:val="22"/>
          <w:szCs w:val="22"/>
        </w:rPr>
      </w:pPr>
      <w:r w:rsidRPr="007B13C9">
        <w:rPr>
          <w:rFonts w:ascii="Arial" w:hAnsi="Arial" w:cs="Arial"/>
          <w:b/>
          <w:color w:val="000000"/>
          <w:sz w:val="22"/>
          <w:szCs w:val="22"/>
        </w:rPr>
        <w:t>DEMSUR</w:t>
      </w:r>
    </w:p>
    <w:p w:rsidR="000D20C1" w:rsidRPr="007B13C9" w:rsidRDefault="000D20C1" w:rsidP="000D20C1">
      <w:pPr>
        <w:pStyle w:val="Corpodetexto"/>
        <w:ind w:left="720" w:hanging="720"/>
        <w:rPr>
          <w:rFonts w:ascii="Arial" w:hAnsi="Arial" w:cs="Arial"/>
          <w:b/>
          <w:color w:val="000000"/>
          <w:sz w:val="22"/>
          <w:szCs w:val="22"/>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4478"/>
        <w:gridCol w:w="851"/>
        <w:gridCol w:w="850"/>
        <w:gridCol w:w="1417"/>
        <w:gridCol w:w="1884"/>
      </w:tblGrid>
      <w:tr w:rsidR="000D20C1" w:rsidRPr="007B13C9" w:rsidTr="005E1A1B">
        <w:trPr>
          <w:trHeight w:val="405"/>
          <w:jc w:val="center"/>
        </w:trPr>
        <w:tc>
          <w:tcPr>
            <w:tcW w:w="666"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ITEM</w:t>
            </w:r>
          </w:p>
        </w:tc>
        <w:tc>
          <w:tcPr>
            <w:tcW w:w="4478" w:type="dxa"/>
            <w:shd w:val="clear" w:color="000000" w:fill="D8D8D8"/>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DESCRIÇÃO</w:t>
            </w:r>
          </w:p>
        </w:tc>
        <w:tc>
          <w:tcPr>
            <w:tcW w:w="851"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UND</w:t>
            </w:r>
          </w:p>
        </w:tc>
        <w:tc>
          <w:tcPr>
            <w:tcW w:w="850"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QTDE</w:t>
            </w:r>
          </w:p>
        </w:tc>
        <w:tc>
          <w:tcPr>
            <w:tcW w:w="1417"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UNITÁRIO</w:t>
            </w:r>
          </w:p>
        </w:tc>
        <w:tc>
          <w:tcPr>
            <w:tcW w:w="1884" w:type="dxa"/>
            <w:shd w:val="clear" w:color="000000" w:fill="D8D8D8"/>
            <w:noWrap/>
            <w:vAlign w:val="center"/>
            <w:hideMark/>
          </w:tcPr>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VALOR</w:t>
            </w:r>
          </w:p>
          <w:p w:rsidR="000D20C1" w:rsidRPr="007B13C9" w:rsidRDefault="000D20C1" w:rsidP="005E1A1B">
            <w:pPr>
              <w:jc w:val="center"/>
              <w:rPr>
                <w:rFonts w:ascii="Arial" w:hAnsi="Arial" w:cs="Arial"/>
                <w:b/>
                <w:bCs/>
                <w:color w:val="000000"/>
                <w:szCs w:val="22"/>
              </w:rPr>
            </w:pPr>
            <w:r w:rsidRPr="007B13C9">
              <w:rPr>
                <w:rFonts w:ascii="Arial" w:hAnsi="Arial" w:cs="Arial"/>
                <w:b/>
                <w:bCs/>
                <w:color w:val="000000"/>
                <w:sz w:val="22"/>
                <w:szCs w:val="22"/>
              </w:rPr>
              <w:t>TOTAL</w:t>
            </w: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Migração dos dados históricos do sistema informatizado de Controladoria, com a instalação, implantação e treinamento inicial em cada sistema informatizado.</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SERV</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01</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hideMark/>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1.1</w:t>
            </w:r>
          </w:p>
        </w:tc>
        <w:tc>
          <w:tcPr>
            <w:tcW w:w="4478" w:type="dxa"/>
            <w:vAlign w:val="center"/>
          </w:tcPr>
          <w:p w:rsidR="000D20C1" w:rsidRPr="007B13C9" w:rsidRDefault="000D20C1" w:rsidP="005E1A1B">
            <w:pPr>
              <w:spacing w:line="276" w:lineRule="auto"/>
              <w:jc w:val="both"/>
              <w:rPr>
                <w:rFonts w:ascii="Arial" w:hAnsi="Arial" w:cs="Arial"/>
                <w:szCs w:val="22"/>
              </w:rPr>
            </w:pPr>
            <w:r w:rsidRPr="007B13C9">
              <w:rPr>
                <w:rFonts w:ascii="Arial" w:hAnsi="Arial" w:cs="Arial"/>
                <w:sz w:val="22"/>
                <w:szCs w:val="22"/>
              </w:rPr>
              <w:t xml:space="preserve">Locação mensal da Licença de Uso do sistema informatizado de Controladoria:                     Planejamento, Gestão e Resultado, Orçamento, Contabilidade Pública, Extra orçamentária, Controle Interno, Tesouraria, Contratos, Estoque, Compras, Licitação, Patrimônio, Frota, Cotação de preços VIA WEB e Arquivo Morto. Já incluso </w:t>
            </w:r>
            <w:r w:rsidR="0034527B" w:rsidRPr="007B13C9">
              <w:rPr>
                <w:rFonts w:ascii="Arial" w:hAnsi="Arial" w:cs="Arial"/>
                <w:sz w:val="22"/>
                <w:szCs w:val="22"/>
              </w:rPr>
              <w:t>Consultor residente</w:t>
            </w:r>
            <w:r w:rsidRPr="007B13C9">
              <w:rPr>
                <w:rFonts w:ascii="Arial" w:hAnsi="Arial" w:cs="Arial"/>
                <w:sz w:val="22"/>
                <w:szCs w:val="22"/>
              </w:rPr>
              <w:t xml:space="preserve"> e as horas de consultoria e treinamento Remoto e Presencial.</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1033"/>
          <w:jc w:val="center"/>
        </w:trPr>
        <w:tc>
          <w:tcPr>
            <w:tcW w:w="666"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0</w:t>
            </w:r>
            <w:r w:rsidR="009B2375" w:rsidRPr="007B13C9">
              <w:rPr>
                <w:rFonts w:ascii="Arial" w:hAnsi="Arial" w:cs="Arial"/>
                <w:color w:val="000000"/>
                <w:sz w:val="22"/>
                <w:szCs w:val="22"/>
              </w:rPr>
              <w:t>2</w:t>
            </w:r>
          </w:p>
        </w:tc>
        <w:tc>
          <w:tcPr>
            <w:tcW w:w="4478" w:type="dxa"/>
          </w:tcPr>
          <w:p w:rsidR="000D20C1" w:rsidRPr="007B13C9" w:rsidRDefault="0034527B" w:rsidP="005E1A1B">
            <w:pPr>
              <w:spacing w:line="276" w:lineRule="auto"/>
              <w:jc w:val="both"/>
              <w:rPr>
                <w:rFonts w:ascii="Arial" w:hAnsi="Arial" w:cs="Arial"/>
                <w:szCs w:val="22"/>
              </w:rPr>
            </w:pPr>
            <w:r w:rsidRPr="007B13C9">
              <w:rPr>
                <w:rFonts w:ascii="Arial" w:hAnsi="Arial" w:cs="Arial"/>
                <w:sz w:val="22"/>
                <w:szCs w:val="22"/>
              </w:rPr>
              <w:t xml:space="preserve">Locação mensal de Data Center externo </w:t>
            </w:r>
            <w:r w:rsidR="000D20C1" w:rsidRPr="007B13C9">
              <w:rPr>
                <w:rFonts w:ascii="Arial" w:hAnsi="Arial" w:cs="Arial"/>
                <w:sz w:val="22"/>
                <w:szCs w:val="22"/>
              </w:rPr>
              <w:t>para instalar e manter os bancos de dados e os sistemas/módulos do item 1.1 da planilha orçamentária.</w:t>
            </w:r>
          </w:p>
        </w:tc>
        <w:tc>
          <w:tcPr>
            <w:tcW w:w="851"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MÊS</w:t>
            </w:r>
          </w:p>
        </w:tc>
        <w:tc>
          <w:tcPr>
            <w:tcW w:w="850" w:type="dxa"/>
            <w:noWrap/>
            <w:vAlign w:val="center"/>
          </w:tcPr>
          <w:p w:rsidR="000D20C1" w:rsidRPr="007B13C9" w:rsidRDefault="000D20C1" w:rsidP="005E1A1B">
            <w:pPr>
              <w:jc w:val="center"/>
              <w:rPr>
                <w:rFonts w:ascii="Arial" w:hAnsi="Arial" w:cs="Arial"/>
                <w:color w:val="000000"/>
                <w:szCs w:val="22"/>
              </w:rPr>
            </w:pPr>
            <w:r w:rsidRPr="007B13C9">
              <w:rPr>
                <w:rFonts w:ascii="Arial" w:hAnsi="Arial" w:cs="Arial"/>
                <w:color w:val="000000"/>
                <w:sz w:val="22"/>
                <w:szCs w:val="22"/>
              </w:rPr>
              <w:t>12</w:t>
            </w:r>
          </w:p>
        </w:tc>
        <w:tc>
          <w:tcPr>
            <w:tcW w:w="1417" w:type="dxa"/>
            <w:noWrap/>
            <w:vAlign w:val="center"/>
          </w:tcPr>
          <w:p w:rsidR="000D20C1" w:rsidRPr="007B13C9" w:rsidRDefault="000D20C1" w:rsidP="005E1A1B">
            <w:pPr>
              <w:jc w:val="center"/>
              <w:rPr>
                <w:rFonts w:ascii="Arial" w:hAnsi="Arial" w:cs="Arial"/>
                <w:color w:val="000000"/>
                <w:szCs w:val="22"/>
              </w:rPr>
            </w:pPr>
          </w:p>
        </w:tc>
        <w:tc>
          <w:tcPr>
            <w:tcW w:w="1884" w:type="dxa"/>
            <w:noWrap/>
            <w:vAlign w:val="center"/>
          </w:tcPr>
          <w:p w:rsidR="000D20C1" w:rsidRPr="007B13C9" w:rsidRDefault="000D20C1" w:rsidP="005E1A1B">
            <w:pPr>
              <w:jc w:val="center"/>
              <w:rPr>
                <w:rFonts w:ascii="Arial" w:hAnsi="Arial" w:cs="Arial"/>
                <w:color w:val="000000"/>
                <w:szCs w:val="22"/>
              </w:rPr>
            </w:pPr>
          </w:p>
        </w:tc>
      </w:tr>
      <w:tr w:rsidR="000D20C1" w:rsidRPr="007B13C9" w:rsidTr="005E1A1B">
        <w:trPr>
          <w:trHeight w:val="450"/>
          <w:jc w:val="center"/>
        </w:trPr>
        <w:tc>
          <w:tcPr>
            <w:tcW w:w="8262" w:type="dxa"/>
            <w:gridSpan w:val="5"/>
            <w:shd w:val="clear" w:color="auto" w:fill="F2F2F2"/>
            <w:noWrap/>
            <w:vAlign w:val="center"/>
          </w:tcPr>
          <w:p w:rsidR="000D20C1" w:rsidRPr="007B13C9" w:rsidRDefault="000D20C1" w:rsidP="005E1A1B">
            <w:pPr>
              <w:jc w:val="center"/>
              <w:rPr>
                <w:rFonts w:ascii="Arial" w:hAnsi="Arial" w:cs="Arial"/>
                <w:b/>
                <w:color w:val="000000"/>
                <w:szCs w:val="22"/>
              </w:rPr>
            </w:pPr>
            <w:r w:rsidRPr="007B13C9">
              <w:rPr>
                <w:rFonts w:ascii="Arial" w:hAnsi="Arial" w:cs="Arial"/>
                <w:b/>
                <w:color w:val="000000"/>
                <w:sz w:val="22"/>
                <w:szCs w:val="22"/>
              </w:rPr>
              <w:t>VALOR TOTAL PREVISTO PARA O PRIMEIRO ANO DE CONTRATO:</w:t>
            </w:r>
          </w:p>
        </w:tc>
        <w:tc>
          <w:tcPr>
            <w:tcW w:w="1884" w:type="dxa"/>
            <w:shd w:val="clear" w:color="auto" w:fill="F2F2F2"/>
            <w:noWrap/>
            <w:vAlign w:val="center"/>
          </w:tcPr>
          <w:p w:rsidR="000D20C1" w:rsidRPr="007B13C9" w:rsidRDefault="000D20C1" w:rsidP="005E1A1B">
            <w:pPr>
              <w:jc w:val="center"/>
              <w:rPr>
                <w:rFonts w:ascii="Arial" w:hAnsi="Arial" w:cs="Arial"/>
                <w:b/>
                <w:color w:val="000000"/>
                <w:szCs w:val="22"/>
              </w:rPr>
            </w:pPr>
          </w:p>
        </w:tc>
      </w:tr>
    </w:tbl>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hanging="720"/>
        <w:rPr>
          <w:rFonts w:ascii="Arial" w:hAnsi="Arial" w:cs="Arial"/>
          <w:color w:val="000000"/>
          <w:sz w:val="22"/>
          <w:szCs w:val="22"/>
        </w:rPr>
      </w:pPr>
      <w:r w:rsidRPr="007B13C9">
        <w:rPr>
          <w:rFonts w:ascii="Arial" w:hAnsi="Arial" w:cs="Arial"/>
          <w:color w:val="000000"/>
          <w:sz w:val="22"/>
          <w:szCs w:val="22"/>
        </w:rPr>
        <w:t xml:space="preserve">VALOR GLOBAL POR EXTENSO: </w:t>
      </w: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lastRenderedPageBreak/>
        <w:t xml:space="preserve">Cidade, XX de </w:t>
      </w:r>
      <w:proofErr w:type="spellStart"/>
      <w:r w:rsidRPr="007B13C9">
        <w:rPr>
          <w:rFonts w:ascii="Arial" w:hAnsi="Arial" w:cs="Arial"/>
          <w:color w:val="000000"/>
          <w:sz w:val="22"/>
          <w:szCs w:val="22"/>
        </w:rPr>
        <w:t>xxxxx</w:t>
      </w:r>
      <w:proofErr w:type="spellEnd"/>
      <w:r w:rsidRPr="007B13C9">
        <w:rPr>
          <w:rFonts w:ascii="Arial" w:hAnsi="Arial" w:cs="Arial"/>
          <w:color w:val="000000"/>
          <w:sz w:val="22"/>
          <w:szCs w:val="22"/>
        </w:rPr>
        <w:t xml:space="preserve"> de 202x</w:t>
      </w: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t>__________________________________</w:t>
      </w:r>
    </w:p>
    <w:p w:rsidR="000D20C1" w:rsidRPr="007B13C9"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t>EMPRESA</w:t>
      </w:r>
    </w:p>
    <w:p w:rsidR="000D20C1" w:rsidRPr="007B13C9"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t>CNPJ</w:t>
      </w:r>
    </w:p>
    <w:p w:rsidR="000D20C1" w:rsidRPr="007B13C9"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t>Procurador/Representante</w:t>
      </w: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p>
    <w:p w:rsidR="000D20C1" w:rsidRPr="007B13C9" w:rsidRDefault="000D20C1" w:rsidP="000D20C1">
      <w:pPr>
        <w:pStyle w:val="Corpodetexto"/>
        <w:ind w:left="720"/>
        <w:jc w:val="center"/>
        <w:rPr>
          <w:rFonts w:ascii="Arial" w:hAnsi="Arial" w:cs="Arial"/>
          <w:color w:val="000000"/>
          <w:sz w:val="22"/>
          <w:szCs w:val="22"/>
        </w:rPr>
      </w:pPr>
    </w:p>
    <w:p w:rsidR="000D20C1" w:rsidRDefault="000D20C1" w:rsidP="000D20C1">
      <w:pPr>
        <w:pStyle w:val="Corpodetexto"/>
        <w:ind w:left="720"/>
        <w:jc w:val="center"/>
        <w:rPr>
          <w:rFonts w:ascii="Arial" w:hAnsi="Arial" w:cs="Arial"/>
          <w:color w:val="000000"/>
          <w:sz w:val="22"/>
          <w:szCs w:val="22"/>
        </w:rPr>
      </w:pPr>
      <w:r w:rsidRPr="007B13C9">
        <w:rPr>
          <w:rFonts w:ascii="Arial" w:hAnsi="Arial" w:cs="Arial"/>
          <w:color w:val="000000"/>
          <w:sz w:val="22"/>
          <w:szCs w:val="22"/>
        </w:rPr>
        <w:t>Carimbo do CNPJ</w:t>
      </w:r>
    </w:p>
    <w:p w:rsidR="000D20C1" w:rsidRPr="00987B07" w:rsidRDefault="000D20C1" w:rsidP="000D20C1"/>
    <w:p w:rsidR="000D20C1" w:rsidRPr="00987B07" w:rsidRDefault="000D20C1" w:rsidP="000D20C1"/>
    <w:p w:rsidR="000D20C1" w:rsidRPr="00987B07" w:rsidRDefault="000D20C1" w:rsidP="000D20C1"/>
    <w:p w:rsidR="000D20C1" w:rsidRPr="00987B07" w:rsidRDefault="000D20C1" w:rsidP="000D20C1"/>
    <w:p w:rsidR="000D20C1" w:rsidRDefault="000D20C1" w:rsidP="000D20C1"/>
    <w:p w:rsidR="000D20C1" w:rsidRDefault="000D20C1" w:rsidP="000D20C1"/>
    <w:p w:rsidR="000D20C1" w:rsidRPr="00987B07" w:rsidRDefault="000D20C1" w:rsidP="000D20C1">
      <w:pPr>
        <w:tabs>
          <w:tab w:val="left" w:pos="6450"/>
        </w:tabs>
      </w:pPr>
      <w:r>
        <w:tab/>
      </w:r>
    </w:p>
    <w:p w:rsidR="00EF164A" w:rsidRDefault="00EF164A"/>
    <w:sectPr w:rsidR="00EF164A" w:rsidSect="000D20C1">
      <w:headerReference w:type="default" r:id="rId7"/>
      <w:footerReference w:type="default" r:id="rId8"/>
      <w:pgSz w:w="11907" w:h="16840" w:code="9"/>
      <w:pgMar w:top="313" w:right="708" w:bottom="426" w:left="1134" w:header="425"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BD7" w:rsidRDefault="00804BD7">
      <w:r>
        <w:separator/>
      </w:r>
    </w:p>
  </w:endnote>
  <w:endnote w:type="continuationSeparator" w:id="0">
    <w:p w:rsidR="00804BD7" w:rsidRDefault="00804B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AE" w:rsidRDefault="000F44AE">
    <w:pPr>
      <w:pStyle w:val="Rodap"/>
      <w:jc w:val="center"/>
      <w:rPr>
        <w:snapToGrid w:val="0"/>
        <w:sz w:val="20"/>
      </w:rPr>
    </w:pPr>
  </w:p>
  <w:p w:rsidR="000F44AE" w:rsidRDefault="000F44AE">
    <w:pPr>
      <w:pStyle w:val="Rodap"/>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BD7" w:rsidRDefault="00804BD7">
      <w:r>
        <w:separator/>
      </w:r>
    </w:p>
  </w:footnote>
  <w:footnote w:type="continuationSeparator" w:id="0">
    <w:p w:rsidR="00804BD7" w:rsidRDefault="00804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64"/>
      <w:gridCol w:w="160"/>
    </w:tblGrid>
    <w:tr w:rsidR="00540732">
      <w:trPr>
        <w:trHeight w:val="897"/>
      </w:trPr>
      <w:tc>
        <w:tcPr>
          <w:tcW w:w="9864" w:type="dxa"/>
          <w:tcBorders>
            <w:top w:val="nil"/>
            <w:left w:val="nil"/>
            <w:bottom w:val="nil"/>
            <w:right w:val="nil"/>
          </w:tcBorders>
        </w:tcPr>
        <w:p w:rsidR="000F44AE" w:rsidRDefault="000F44AE">
          <w:pPr>
            <w:pStyle w:val="Cabealho"/>
            <w:tabs>
              <w:tab w:val="clear" w:pos="8838"/>
              <w:tab w:val="right" w:pos="6804"/>
            </w:tabs>
            <w:jc w:val="center"/>
          </w:pPr>
        </w:p>
      </w:tc>
      <w:tc>
        <w:tcPr>
          <w:tcW w:w="150" w:type="dxa"/>
          <w:tcBorders>
            <w:top w:val="nil"/>
            <w:left w:val="nil"/>
            <w:bottom w:val="nil"/>
            <w:right w:val="nil"/>
          </w:tcBorders>
        </w:tcPr>
        <w:p w:rsidR="000F44AE" w:rsidRDefault="000F44AE">
          <w:pPr>
            <w:pStyle w:val="Cabealho"/>
            <w:tabs>
              <w:tab w:val="clear" w:pos="8838"/>
              <w:tab w:val="right" w:pos="6804"/>
            </w:tabs>
            <w:jc w:val="center"/>
          </w:pPr>
        </w:p>
      </w:tc>
    </w:tr>
  </w:tbl>
  <w:p w:rsidR="000F44AE" w:rsidRDefault="000F44A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20C1"/>
    <w:rsid w:val="00043B84"/>
    <w:rsid w:val="000D20C1"/>
    <w:rsid w:val="000F44AE"/>
    <w:rsid w:val="00226992"/>
    <w:rsid w:val="0034527B"/>
    <w:rsid w:val="00391341"/>
    <w:rsid w:val="006921CD"/>
    <w:rsid w:val="00755EC5"/>
    <w:rsid w:val="007B13C9"/>
    <w:rsid w:val="00804BD7"/>
    <w:rsid w:val="00820FB3"/>
    <w:rsid w:val="009B2375"/>
    <w:rsid w:val="00AE54E6"/>
    <w:rsid w:val="00EF16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C1"/>
    <w:pPr>
      <w:spacing w:after="0" w:line="240" w:lineRule="auto"/>
    </w:pPr>
    <w:rPr>
      <w:rFonts w:ascii="Times New Roman" w:eastAsia="Times New Roman" w:hAnsi="Times New Roman" w:cs="Times New Roman"/>
      <w:kern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20C1"/>
    <w:pPr>
      <w:jc w:val="both"/>
    </w:pPr>
  </w:style>
  <w:style w:type="character" w:customStyle="1" w:styleId="CorpodetextoChar">
    <w:name w:val="Corpo de texto Char"/>
    <w:basedOn w:val="Fontepargpadro"/>
    <w:link w:val="Corpodetexto"/>
    <w:rsid w:val="000D20C1"/>
    <w:rPr>
      <w:rFonts w:ascii="Times New Roman" w:eastAsia="Times New Roman" w:hAnsi="Times New Roman" w:cs="Times New Roman"/>
      <w:kern w:val="0"/>
      <w:sz w:val="24"/>
      <w:szCs w:val="20"/>
      <w:lang w:eastAsia="pt-BR"/>
    </w:rPr>
  </w:style>
  <w:style w:type="paragraph" w:styleId="Cabealho">
    <w:name w:val="header"/>
    <w:basedOn w:val="Normal"/>
    <w:link w:val="CabealhoChar"/>
    <w:rsid w:val="000D20C1"/>
    <w:pPr>
      <w:tabs>
        <w:tab w:val="center" w:pos="4419"/>
        <w:tab w:val="right" w:pos="8838"/>
      </w:tabs>
    </w:pPr>
  </w:style>
  <w:style w:type="character" w:customStyle="1" w:styleId="CabealhoChar">
    <w:name w:val="Cabeçalho Char"/>
    <w:basedOn w:val="Fontepargpadro"/>
    <w:link w:val="Cabealho"/>
    <w:rsid w:val="000D20C1"/>
    <w:rPr>
      <w:rFonts w:ascii="Times New Roman" w:eastAsia="Times New Roman" w:hAnsi="Times New Roman" w:cs="Times New Roman"/>
      <w:kern w:val="0"/>
      <w:sz w:val="24"/>
      <w:szCs w:val="20"/>
      <w:lang w:eastAsia="pt-BR"/>
    </w:rPr>
  </w:style>
  <w:style w:type="paragraph" w:styleId="Rodap">
    <w:name w:val="footer"/>
    <w:basedOn w:val="Normal"/>
    <w:link w:val="RodapChar"/>
    <w:rsid w:val="000D20C1"/>
    <w:pPr>
      <w:tabs>
        <w:tab w:val="center" w:pos="4419"/>
        <w:tab w:val="right" w:pos="8838"/>
      </w:tabs>
    </w:pPr>
  </w:style>
  <w:style w:type="character" w:customStyle="1" w:styleId="RodapChar">
    <w:name w:val="Rodapé Char"/>
    <w:basedOn w:val="Fontepargpadro"/>
    <w:link w:val="Rodap"/>
    <w:rsid w:val="000D20C1"/>
    <w:rPr>
      <w:rFonts w:ascii="Times New Roman" w:eastAsia="Times New Roman" w:hAnsi="Times New Roman" w:cs="Times New Roman"/>
      <w:kern w:val="0"/>
      <w:sz w:val="24"/>
      <w:szCs w:val="20"/>
      <w:lang w:eastAsia="pt-BR"/>
    </w:rPr>
  </w:style>
  <w:style w:type="paragraph" w:styleId="PargrafodaLista">
    <w:name w:val="List Paragraph"/>
    <w:basedOn w:val="Normal"/>
    <w:uiPriority w:val="34"/>
    <w:qFormat/>
    <w:rsid w:val="000D20C1"/>
    <w:pPr>
      <w:ind w:left="708"/>
    </w:pPr>
  </w:style>
  <w:style w:type="character" w:styleId="Hyperlink">
    <w:name w:val="Hyperlink"/>
    <w:basedOn w:val="Fontepargpadro"/>
    <w:uiPriority w:val="99"/>
    <w:unhideWhenUsed/>
    <w:rsid w:val="00820F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9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OLICITACAO@MURIAE.MG.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2237</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dias</dc:creator>
  <cp:keywords/>
  <dc:description/>
  <cp:lastModifiedBy>daniele.silva</cp:lastModifiedBy>
  <cp:revision>8</cp:revision>
  <dcterms:created xsi:type="dcterms:W3CDTF">2023-11-06T13:55:00Z</dcterms:created>
  <dcterms:modified xsi:type="dcterms:W3CDTF">2023-11-30T17:35:00Z</dcterms:modified>
</cp:coreProperties>
</file>